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817" w:rsidRPr="00B0577D" w:rsidRDefault="00614210" w:rsidP="00AC1CC5">
      <w:pPr>
        <w:spacing w:line="480" w:lineRule="auto"/>
        <w:rPr>
          <w:rFonts w:asciiTheme="minorEastAsia" w:hAnsiTheme="minorEastAsia"/>
          <w:b/>
          <w:bCs/>
          <w:sz w:val="30"/>
          <w:szCs w:val="30"/>
        </w:rPr>
      </w:pPr>
      <w:r>
        <w:rPr>
          <w:rFonts w:asciiTheme="minorEastAsia" w:hAnsiTheme="minorEastAsia"/>
          <w:noProof/>
          <w:position w:val="-13"/>
          <w:sz w:val="30"/>
          <w:szCs w:val="30"/>
        </w:rPr>
      </w:r>
      <w:r>
        <w:rPr>
          <w:rFonts w:asciiTheme="minorEastAsia" w:hAnsiTheme="minorEastAsia"/>
          <w:noProof/>
          <w:position w:val="-13"/>
          <w:sz w:val="30"/>
          <w:szCs w:val="30"/>
        </w:rPr>
        <w:pict>
          <v:shapetype id="_x0000_t202" coordsize="21600,21600" o:spt="202" path="m,l,21600r21600,l21600,xe">
            <v:stroke joinstyle="miter"/>
            <v:path gradientshapeok="t" o:connecttype="rect"/>
          </v:shapetype>
          <v:shape id="文本框 4" o:spid="_x0000_s1027" type="#_x0000_t202" style="width:410.25pt;height:34.5pt;visibility:visible;mso-left-percent:-10001;mso-top-percent:-10001;mso-position-horizontal:absolute;mso-position-horizontal-relative:char;mso-position-vertical:absolute;mso-position-vertical-relative:line;mso-left-percent:-10001;mso-top-percent:-10001" fillcolor="#7e7e7e" stroked="f">
            <v:textbox inset="0,0,0,0">
              <w:txbxContent>
                <w:p w:rsidR="002F4817" w:rsidRPr="00C55D71" w:rsidRDefault="002F4817" w:rsidP="002F4817">
                  <w:pPr>
                    <w:spacing w:before="83"/>
                    <w:ind w:left="1"/>
                    <w:jc w:val="center"/>
                    <w:rPr>
                      <w:rFonts w:ascii="微软雅黑" w:eastAsia="微软雅黑" w:hAnsi="微软雅黑" w:cs="微软雅黑"/>
                      <w:b/>
                      <w:bCs/>
                      <w:i/>
                      <w:color w:val="FFFFFF"/>
                      <w:w w:val="96"/>
                      <w:sz w:val="36"/>
                      <w:szCs w:val="36"/>
                    </w:rPr>
                  </w:pPr>
                  <w:r w:rsidRPr="00C55D71">
                    <w:rPr>
                      <w:rFonts w:ascii="微软雅黑" w:eastAsia="微软雅黑" w:hAnsi="微软雅黑" w:cs="微软雅黑"/>
                      <w:b/>
                      <w:bCs/>
                      <w:i/>
                      <w:color w:val="FFFFFF"/>
                      <w:w w:val="96"/>
                      <w:sz w:val="36"/>
                      <w:szCs w:val="36"/>
                    </w:rPr>
                    <w:t>市场回顾</w:t>
                  </w:r>
                  <w:r w:rsidRPr="00C55D71">
                    <w:rPr>
                      <w:rFonts w:ascii="微软雅黑" w:eastAsia="微软雅黑" w:hAnsi="微软雅黑" w:cs="微软雅黑" w:hint="eastAsia"/>
                      <w:b/>
                      <w:bCs/>
                      <w:i/>
                      <w:color w:val="FFFFFF"/>
                      <w:w w:val="96"/>
                      <w:sz w:val="36"/>
                      <w:szCs w:val="36"/>
                    </w:rPr>
                    <w:t>及宏观</w:t>
                  </w:r>
                </w:p>
              </w:txbxContent>
            </v:textbox>
            <w10:wrap type="none"/>
            <w10:anchorlock/>
          </v:shape>
        </w:pict>
      </w:r>
    </w:p>
    <w:p w:rsidR="00D64E22" w:rsidRPr="00D64E22" w:rsidRDefault="00FB36F0" w:rsidP="00270615">
      <w:pPr>
        <w:spacing w:line="480" w:lineRule="auto"/>
        <w:ind w:firstLineChars="200" w:firstLine="602"/>
        <w:jc w:val="center"/>
        <w:rPr>
          <w:rFonts w:asciiTheme="minorEastAsia" w:hAnsiTheme="minorEastAsia"/>
          <w:color w:val="000000" w:themeColor="text1"/>
          <w:sz w:val="30"/>
          <w:szCs w:val="30"/>
          <w:shd w:val="clear" w:color="auto" w:fill="FFFFFF"/>
        </w:rPr>
      </w:pPr>
      <w:r w:rsidRPr="00AC1CC5">
        <w:rPr>
          <w:rFonts w:asciiTheme="minorEastAsia" w:hAnsiTheme="minorEastAsia" w:hint="eastAsia"/>
          <w:b/>
          <w:color w:val="000000" w:themeColor="text1"/>
          <w:sz w:val="30"/>
          <w:szCs w:val="30"/>
          <w:shd w:val="clear" w:color="auto" w:fill="FFFFFF"/>
        </w:rPr>
        <w:t>本</w:t>
      </w:r>
      <w:r w:rsidR="00713BE5" w:rsidRPr="00AC1CC5">
        <w:rPr>
          <w:rFonts w:asciiTheme="minorEastAsia" w:hAnsiTheme="minorEastAsia" w:hint="eastAsia"/>
          <w:b/>
          <w:color w:val="000000" w:themeColor="text1"/>
          <w:sz w:val="30"/>
          <w:szCs w:val="30"/>
          <w:shd w:val="clear" w:color="auto" w:fill="FFFFFF"/>
        </w:rPr>
        <w:t>月</w:t>
      </w:r>
      <w:r w:rsidR="00270615" w:rsidRPr="00AC1CC5">
        <w:rPr>
          <w:rFonts w:asciiTheme="minorEastAsia" w:hAnsiTheme="minorEastAsia" w:hint="eastAsia"/>
          <w:b/>
          <w:color w:val="000000" w:themeColor="text1"/>
          <w:sz w:val="30"/>
          <w:szCs w:val="30"/>
          <w:shd w:val="clear" w:color="auto" w:fill="FFFFFF"/>
        </w:rPr>
        <w:t>A股市场</w:t>
      </w:r>
      <w:r w:rsidR="00713BE5" w:rsidRPr="00AC1CC5">
        <w:rPr>
          <w:rFonts w:asciiTheme="minorEastAsia" w:hAnsiTheme="minorEastAsia" w:hint="eastAsia"/>
          <w:b/>
          <w:color w:val="000000" w:themeColor="text1"/>
          <w:sz w:val="30"/>
          <w:szCs w:val="30"/>
          <w:shd w:val="clear" w:color="auto" w:fill="FFFFFF"/>
        </w:rPr>
        <w:t>在</w:t>
      </w:r>
      <w:r w:rsidR="00270615" w:rsidRPr="00AC1CC5">
        <w:rPr>
          <w:rFonts w:asciiTheme="minorEastAsia" w:hAnsiTheme="minorEastAsia" w:hint="eastAsia"/>
          <w:b/>
          <w:color w:val="000000" w:themeColor="text1"/>
          <w:sz w:val="30"/>
          <w:szCs w:val="30"/>
          <w:shd w:val="clear" w:color="auto" w:fill="FFFFFF"/>
        </w:rPr>
        <w:t>区间震荡。</w:t>
      </w:r>
      <w:r w:rsidR="00270615" w:rsidRPr="00270615">
        <w:rPr>
          <w:rFonts w:asciiTheme="minorEastAsia" w:hAnsiTheme="minorEastAsia" w:hint="eastAsia"/>
          <w:color w:val="000000" w:themeColor="text1"/>
          <w:sz w:val="30"/>
          <w:szCs w:val="30"/>
          <w:shd w:val="clear" w:color="auto" w:fill="FFFFFF"/>
        </w:rPr>
        <w:t>截止</w:t>
      </w:r>
      <w:r w:rsidR="009A3A3E">
        <w:rPr>
          <w:rFonts w:asciiTheme="minorEastAsia" w:hAnsiTheme="minorEastAsia"/>
          <w:color w:val="000000" w:themeColor="text1"/>
          <w:sz w:val="30"/>
          <w:szCs w:val="30"/>
          <w:shd w:val="clear" w:color="auto" w:fill="FFFFFF"/>
        </w:rPr>
        <w:t>8</w:t>
      </w:r>
      <w:r w:rsidR="00270615" w:rsidRPr="00270615">
        <w:rPr>
          <w:rFonts w:asciiTheme="minorEastAsia" w:hAnsiTheme="minorEastAsia" w:hint="eastAsia"/>
          <w:color w:val="000000" w:themeColor="text1"/>
          <w:sz w:val="30"/>
          <w:szCs w:val="30"/>
          <w:shd w:val="clear" w:color="auto" w:fill="FFFFFF"/>
        </w:rPr>
        <w:t>月3</w:t>
      </w:r>
      <w:r w:rsidR="009A3A3E">
        <w:rPr>
          <w:rFonts w:asciiTheme="minorEastAsia" w:hAnsiTheme="minorEastAsia"/>
          <w:color w:val="000000" w:themeColor="text1"/>
          <w:sz w:val="30"/>
          <w:szCs w:val="30"/>
          <w:shd w:val="clear" w:color="auto" w:fill="FFFFFF"/>
        </w:rPr>
        <w:t>0</w:t>
      </w:r>
      <w:r w:rsidR="00270615" w:rsidRPr="00270615">
        <w:rPr>
          <w:rFonts w:asciiTheme="minorEastAsia" w:hAnsiTheme="minorEastAsia" w:hint="eastAsia"/>
          <w:color w:val="000000" w:themeColor="text1"/>
          <w:sz w:val="30"/>
          <w:szCs w:val="30"/>
          <w:shd w:val="clear" w:color="auto" w:fill="FFFFFF"/>
        </w:rPr>
        <w:t>日收盘，上证指数收报2</w:t>
      </w:r>
      <w:r w:rsidR="009A3A3E">
        <w:rPr>
          <w:rFonts w:asciiTheme="minorEastAsia" w:hAnsiTheme="minorEastAsia"/>
          <w:color w:val="000000" w:themeColor="text1"/>
          <w:sz w:val="30"/>
          <w:szCs w:val="30"/>
          <w:shd w:val="clear" w:color="auto" w:fill="FFFFFF"/>
        </w:rPr>
        <w:t>886.24</w:t>
      </w:r>
      <w:r w:rsidR="00270615" w:rsidRPr="00270615">
        <w:rPr>
          <w:rFonts w:asciiTheme="minorEastAsia" w:hAnsiTheme="minorEastAsia" w:hint="eastAsia"/>
          <w:color w:val="000000" w:themeColor="text1"/>
          <w:sz w:val="30"/>
          <w:szCs w:val="30"/>
          <w:shd w:val="clear" w:color="auto" w:fill="FFFFFF"/>
        </w:rPr>
        <w:t>点，涨幅为-1.5</w:t>
      </w:r>
      <w:r w:rsidR="009A3A3E">
        <w:rPr>
          <w:rFonts w:asciiTheme="minorEastAsia" w:hAnsiTheme="minorEastAsia"/>
          <w:color w:val="000000" w:themeColor="text1"/>
          <w:sz w:val="30"/>
          <w:szCs w:val="30"/>
          <w:shd w:val="clear" w:color="auto" w:fill="FFFFFF"/>
        </w:rPr>
        <w:t>8</w:t>
      </w:r>
      <w:r w:rsidR="00270615" w:rsidRPr="00270615">
        <w:rPr>
          <w:rFonts w:asciiTheme="minorEastAsia" w:hAnsiTheme="minorEastAsia" w:hint="eastAsia"/>
          <w:color w:val="000000" w:themeColor="text1"/>
          <w:sz w:val="30"/>
          <w:szCs w:val="30"/>
          <w:shd w:val="clear" w:color="auto" w:fill="FFFFFF"/>
        </w:rPr>
        <w:t>%，中小板指数</w:t>
      </w:r>
      <w:r w:rsidR="001C2E5A">
        <w:rPr>
          <w:rFonts w:asciiTheme="minorEastAsia" w:hAnsiTheme="minorEastAsia" w:hint="eastAsia"/>
          <w:color w:val="000000" w:themeColor="text1"/>
          <w:sz w:val="30"/>
          <w:szCs w:val="30"/>
          <w:shd w:val="clear" w:color="auto" w:fill="FFFFFF"/>
        </w:rPr>
        <w:t>收报</w:t>
      </w:r>
      <w:r w:rsidR="00270615" w:rsidRPr="00270615">
        <w:rPr>
          <w:rFonts w:asciiTheme="minorEastAsia" w:hAnsiTheme="minorEastAsia" w:hint="eastAsia"/>
          <w:color w:val="000000" w:themeColor="text1"/>
          <w:sz w:val="30"/>
          <w:szCs w:val="30"/>
          <w:shd w:val="clear" w:color="auto" w:fill="FFFFFF"/>
        </w:rPr>
        <w:t>5</w:t>
      </w:r>
      <w:r w:rsidR="009A3A3E">
        <w:rPr>
          <w:rFonts w:asciiTheme="minorEastAsia" w:hAnsiTheme="minorEastAsia"/>
          <w:color w:val="000000" w:themeColor="text1"/>
          <w:sz w:val="30"/>
          <w:szCs w:val="30"/>
          <w:shd w:val="clear" w:color="auto" w:fill="FFFFFF"/>
        </w:rPr>
        <w:t>883.09</w:t>
      </w:r>
      <w:r w:rsidR="00270615" w:rsidRPr="00270615">
        <w:rPr>
          <w:rFonts w:asciiTheme="minorEastAsia" w:hAnsiTheme="minorEastAsia" w:hint="eastAsia"/>
          <w:color w:val="000000" w:themeColor="text1"/>
          <w:sz w:val="30"/>
          <w:szCs w:val="30"/>
          <w:shd w:val="clear" w:color="auto" w:fill="FFFFFF"/>
        </w:rPr>
        <w:t>，</w:t>
      </w:r>
    </w:p>
    <w:p w:rsidR="002C45FD" w:rsidRDefault="00270615" w:rsidP="002C45FD">
      <w:pPr>
        <w:spacing w:line="480" w:lineRule="auto"/>
        <w:rPr>
          <w:rFonts w:asciiTheme="minorEastAsia" w:hAnsiTheme="minorEastAsia"/>
          <w:color w:val="000000" w:themeColor="text1"/>
          <w:sz w:val="30"/>
          <w:szCs w:val="30"/>
          <w:shd w:val="clear" w:color="auto" w:fill="FFFFFF"/>
        </w:rPr>
      </w:pPr>
      <w:r w:rsidRPr="00270615">
        <w:rPr>
          <w:rFonts w:asciiTheme="minorEastAsia" w:hAnsiTheme="minorEastAsia" w:hint="eastAsia"/>
          <w:color w:val="000000" w:themeColor="text1"/>
          <w:sz w:val="30"/>
          <w:szCs w:val="30"/>
          <w:shd w:val="clear" w:color="auto" w:fill="FFFFFF"/>
        </w:rPr>
        <w:t>涨幅为</w:t>
      </w:r>
      <w:r w:rsidR="009A3A3E">
        <w:rPr>
          <w:rFonts w:asciiTheme="minorEastAsia" w:hAnsiTheme="minorEastAsia"/>
          <w:color w:val="000000" w:themeColor="text1"/>
          <w:sz w:val="30"/>
          <w:szCs w:val="30"/>
          <w:shd w:val="clear" w:color="auto" w:fill="FFFFFF"/>
        </w:rPr>
        <w:t>1.53</w:t>
      </w:r>
      <w:r w:rsidRPr="00270615">
        <w:rPr>
          <w:rFonts w:asciiTheme="minorEastAsia" w:hAnsiTheme="minorEastAsia" w:hint="eastAsia"/>
          <w:color w:val="000000" w:themeColor="text1"/>
          <w:sz w:val="30"/>
          <w:szCs w:val="30"/>
          <w:shd w:val="clear" w:color="auto" w:fill="FFFFFF"/>
        </w:rPr>
        <w:t>%，创业板指收报1</w:t>
      </w:r>
      <w:r w:rsidR="009A3A3E">
        <w:rPr>
          <w:rFonts w:asciiTheme="minorEastAsia" w:hAnsiTheme="minorEastAsia"/>
          <w:color w:val="000000" w:themeColor="text1"/>
          <w:sz w:val="30"/>
          <w:szCs w:val="30"/>
          <w:shd w:val="clear" w:color="auto" w:fill="FFFFFF"/>
        </w:rPr>
        <w:t>610.9</w:t>
      </w:r>
      <w:r w:rsidRPr="00270615">
        <w:rPr>
          <w:rFonts w:asciiTheme="minorEastAsia" w:hAnsiTheme="minorEastAsia" w:hint="eastAsia"/>
          <w:color w:val="000000" w:themeColor="text1"/>
          <w:sz w:val="30"/>
          <w:szCs w:val="30"/>
          <w:shd w:val="clear" w:color="auto" w:fill="FFFFFF"/>
        </w:rPr>
        <w:t>，涨幅为</w:t>
      </w:r>
      <w:r w:rsidR="009A3A3E">
        <w:rPr>
          <w:rFonts w:asciiTheme="minorEastAsia" w:hAnsiTheme="minorEastAsia"/>
          <w:color w:val="000000" w:themeColor="text1"/>
          <w:sz w:val="30"/>
          <w:szCs w:val="30"/>
          <w:shd w:val="clear" w:color="auto" w:fill="FFFFFF"/>
        </w:rPr>
        <w:t>2.58</w:t>
      </w:r>
      <w:r w:rsidRPr="00270615">
        <w:rPr>
          <w:rFonts w:asciiTheme="minorEastAsia" w:hAnsiTheme="minorEastAsia" w:hint="eastAsia"/>
          <w:color w:val="000000" w:themeColor="text1"/>
          <w:sz w:val="30"/>
          <w:szCs w:val="30"/>
          <w:shd w:val="clear" w:color="auto" w:fill="FFFFFF"/>
        </w:rPr>
        <w:t>%。</w:t>
      </w:r>
    </w:p>
    <w:p w:rsidR="002F4817" w:rsidRPr="00B0577D" w:rsidRDefault="002F4817" w:rsidP="00AC1CC5">
      <w:pPr>
        <w:spacing w:line="480" w:lineRule="auto"/>
        <w:jc w:val="center"/>
        <w:rPr>
          <w:rFonts w:asciiTheme="minorEastAsia" w:hAnsiTheme="minorEastAsia"/>
          <w:sz w:val="28"/>
          <w:szCs w:val="28"/>
        </w:rPr>
      </w:pPr>
      <w:r w:rsidRPr="00B0577D">
        <w:rPr>
          <w:rFonts w:asciiTheme="minorEastAsia" w:hAnsiTheme="minorEastAsia" w:hint="eastAsia"/>
          <w:sz w:val="28"/>
          <w:szCs w:val="28"/>
        </w:rPr>
        <w:t>图1：A股</w:t>
      </w:r>
      <w:r w:rsidRPr="00B0577D">
        <w:rPr>
          <w:rFonts w:asciiTheme="minorEastAsia" w:hAnsiTheme="minorEastAsia"/>
          <w:sz w:val="28"/>
          <w:szCs w:val="28"/>
        </w:rPr>
        <w:t>市场</w:t>
      </w:r>
      <w:r w:rsidR="00FB36F0">
        <w:rPr>
          <w:rFonts w:asciiTheme="minorEastAsia" w:hAnsiTheme="minorEastAsia" w:hint="eastAsia"/>
          <w:sz w:val="28"/>
          <w:szCs w:val="28"/>
        </w:rPr>
        <w:t>本</w:t>
      </w:r>
      <w:r w:rsidRPr="00B0577D">
        <w:rPr>
          <w:rFonts w:asciiTheme="minorEastAsia" w:hAnsiTheme="minorEastAsia" w:hint="eastAsia"/>
          <w:sz w:val="28"/>
          <w:szCs w:val="28"/>
        </w:rPr>
        <w:t>月</w:t>
      </w:r>
      <w:r w:rsidRPr="00B0577D">
        <w:rPr>
          <w:rFonts w:asciiTheme="minorEastAsia" w:hAnsiTheme="minorEastAsia"/>
          <w:sz w:val="28"/>
          <w:szCs w:val="28"/>
        </w:rPr>
        <w:t>总体表现</w:t>
      </w:r>
    </w:p>
    <w:tbl>
      <w:tblPr>
        <w:tblW w:w="8500" w:type="dxa"/>
        <w:jc w:val="center"/>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664"/>
        <w:gridCol w:w="2410"/>
        <w:gridCol w:w="2830"/>
      </w:tblGrid>
      <w:tr w:rsidR="002F4817" w:rsidRPr="00B0577D" w:rsidTr="00F76B94">
        <w:trPr>
          <w:trHeight w:val="402"/>
          <w:jc w:val="center"/>
        </w:trPr>
        <w:tc>
          <w:tcPr>
            <w:tcW w:w="1596" w:type="dxa"/>
            <w:tcBorders>
              <w:top w:val="single" w:sz="4" w:space="0" w:color="auto"/>
            </w:tcBorders>
            <w:shd w:val="clear" w:color="000000" w:fill="FF6600"/>
            <w:noWrap/>
            <w:vAlign w:val="bottom"/>
            <w:hideMark/>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指数</w:t>
            </w:r>
          </w:p>
        </w:tc>
        <w:tc>
          <w:tcPr>
            <w:tcW w:w="1664" w:type="dxa"/>
            <w:tcBorders>
              <w:top w:val="single" w:sz="4" w:space="0" w:color="auto"/>
            </w:tcBorders>
            <w:shd w:val="clear" w:color="000000" w:fill="FF6600"/>
            <w:noWrap/>
            <w:vAlign w:val="bottom"/>
            <w:hideMark/>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收盘价</w:t>
            </w:r>
          </w:p>
        </w:tc>
        <w:tc>
          <w:tcPr>
            <w:tcW w:w="2410" w:type="dxa"/>
            <w:tcBorders>
              <w:top w:val="single" w:sz="4" w:space="0" w:color="auto"/>
            </w:tcBorders>
            <w:shd w:val="clear" w:color="000000" w:fill="FF6600"/>
            <w:noWrap/>
            <w:vAlign w:val="bottom"/>
            <w:hideMark/>
          </w:tcPr>
          <w:p w:rsidR="002F4817" w:rsidRPr="00B0577D" w:rsidRDefault="00D36BC4" w:rsidP="00B0577D">
            <w:pPr>
              <w:spacing w:line="480" w:lineRule="auto"/>
              <w:jc w:val="center"/>
              <w:rPr>
                <w:rFonts w:asciiTheme="minorEastAsia" w:hAnsiTheme="minorEastAsia" w:cs="宋体"/>
                <w:color w:val="000000"/>
                <w:sz w:val="30"/>
                <w:szCs w:val="30"/>
              </w:rPr>
            </w:pPr>
            <w:r>
              <w:rPr>
                <w:rFonts w:asciiTheme="minorEastAsia" w:hAnsiTheme="minorEastAsia" w:cs="宋体"/>
                <w:color w:val="000000"/>
                <w:sz w:val="30"/>
                <w:szCs w:val="30"/>
              </w:rPr>
              <w:t>8</w:t>
            </w:r>
            <w:r w:rsidR="002F4817" w:rsidRPr="00B0577D">
              <w:rPr>
                <w:rFonts w:asciiTheme="minorEastAsia" w:hAnsiTheme="minorEastAsia" w:cs="宋体" w:hint="eastAsia"/>
                <w:color w:val="000000"/>
                <w:sz w:val="30"/>
                <w:szCs w:val="30"/>
              </w:rPr>
              <w:t>月涨幅(%)</w:t>
            </w:r>
          </w:p>
        </w:tc>
        <w:tc>
          <w:tcPr>
            <w:tcW w:w="2830" w:type="dxa"/>
            <w:tcBorders>
              <w:top w:val="single" w:sz="4" w:space="0" w:color="auto"/>
            </w:tcBorders>
            <w:shd w:val="clear" w:color="000000" w:fill="FF6600"/>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今年</w:t>
            </w:r>
            <w:r w:rsidRPr="00B0577D">
              <w:rPr>
                <w:rFonts w:asciiTheme="minorEastAsia" w:hAnsiTheme="minorEastAsia" w:cs="宋体"/>
                <w:color w:val="000000"/>
                <w:sz w:val="30"/>
                <w:szCs w:val="30"/>
              </w:rPr>
              <w:t>以来涨幅</w:t>
            </w:r>
            <w:r w:rsidRPr="00B0577D">
              <w:rPr>
                <w:rFonts w:asciiTheme="minorEastAsia" w:hAnsiTheme="minorEastAsia" w:cs="宋体" w:hint="eastAsia"/>
                <w:color w:val="000000"/>
                <w:sz w:val="30"/>
                <w:szCs w:val="30"/>
              </w:rPr>
              <w:t>（%）</w:t>
            </w:r>
          </w:p>
        </w:tc>
      </w:tr>
      <w:tr w:rsidR="002F4817" w:rsidRPr="00B0577D" w:rsidTr="00F76B94">
        <w:trPr>
          <w:trHeight w:val="402"/>
          <w:jc w:val="center"/>
        </w:trPr>
        <w:tc>
          <w:tcPr>
            <w:tcW w:w="1596" w:type="dxa"/>
            <w:tcBorders>
              <w:top w:val="single" w:sz="4" w:space="0" w:color="auto"/>
            </w:tcBorders>
            <w:shd w:val="clear" w:color="000000" w:fill="FCD5B4"/>
            <w:noWrap/>
            <w:vAlign w:val="bottom"/>
            <w:hideMark/>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上证指数</w:t>
            </w:r>
          </w:p>
        </w:tc>
        <w:tc>
          <w:tcPr>
            <w:tcW w:w="1664" w:type="dxa"/>
            <w:tcBorders>
              <w:top w:val="single" w:sz="4" w:space="0" w:color="auto"/>
            </w:tcBorders>
            <w:shd w:val="clear" w:color="000000" w:fill="FCD5B4"/>
            <w:noWrap/>
            <w:vAlign w:val="bottom"/>
            <w:hideMark/>
          </w:tcPr>
          <w:p w:rsidR="002F4817" w:rsidRPr="00B0577D" w:rsidRDefault="002F4817" w:rsidP="00D36BC4">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2</w:t>
            </w:r>
            <w:r w:rsidR="00D36BC4">
              <w:rPr>
                <w:rFonts w:asciiTheme="minorEastAsia" w:hAnsiTheme="minorEastAsia" w:cs="宋体"/>
                <w:color w:val="000000"/>
                <w:sz w:val="30"/>
                <w:szCs w:val="30"/>
              </w:rPr>
              <w:t>886.24</w:t>
            </w:r>
          </w:p>
        </w:tc>
        <w:tc>
          <w:tcPr>
            <w:tcW w:w="2410" w:type="dxa"/>
            <w:shd w:val="clear" w:color="000000" w:fill="FCD5B4"/>
            <w:noWrap/>
            <w:vAlign w:val="bottom"/>
            <w:hideMark/>
          </w:tcPr>
          <w:p w:rsidR="002F4817" w:rsidRPr="00B0577D" w:rsidRDefault="00381819" w:rsidP="00D36BC4">
            <w:pPr>
              <w:spacing w:line="480" w:lineRule="auto"/>
              <w:jc w:val="center"/>
              <w:rPr>
                <w:rFonts w:asciiTheme="minorEastAsia" w:hAnsiTheme="minorEastAsia" w:cs="宋体"/>
                <w:color w:val="000000"/>
                <w:sz w:val="30"/>
                <w:szCs w:val="30"/>
              </w:rPr>
            </w:pPr>
            <w:r>
              <w:rPr>
                <w:rFonts w:asciiTheme="minorEastAsia" w:hAnsiTheme="minorEastAsia" w:cs="宋体" w:hint="eastAsia"/>
                <w:color w:val="000000"/>
                <w:sz w:val="30"/>
                <w:szCs w:val="30"/>
              </w:rPr>
              <w:t>-</w:t>
            </w:r>
            <w:r w:rsidR="00D961D8">
              <w:rPr>
                <w:rFonts w:asciiTheme="minorEastAsia" w:hAnsiTheme="minorEastAsia" w:cs="宋体" w:hint="eastAsia"/>
                <w:color w:val="000000"/>
                <w:sz w:val="30"/>
                <w:szCs w:val="30"/>
              </w:rPr>
              <w:t>1.5</w:t>
            </w:r>
            <w:r w:rsidR="00D36BC4">
              <w:rPr>
                <w:rFonts w:asciiTheme="minorEastAsia" w:hAnsiTheme="minorEastAsia" w:cs="宋体"/>
                <w:color w:val="000000"/>
                <w:sz w:val="30"/>
                <w:szCs w:val="30"/>
              </w:rPr>
              <w:t>8</w:t>
            </w:r>
          </w:p>
        </w:tc>
        <w:tc>
          <w:tcPr>
            <w:tcW w:w="2830" w:type="dxa"/>
            <w:shd w:val="clear" w:color="000000" w:fill="FCD5B4"/>
          </w:tcPr>
          <w:p w:rsidR="002F4817" w:rsidRPr="00B0577D" w:rsidRDefault="004D551C" w:rsidP="00D36BC4">
            <w:pPr>
              <w:spacing w:line="480" w:lineRule="auto"/>
              <w:jc w:val="center"/>
              <w:rPr>
                <w:rFonts w:asciiTheme="minorEastAsia" w:hAnsiTheme="minorEastAsia" w:cs="宋体"/>
                <w:color w:val="000000"/>
                <w:sz w:val="30"/>
                <w:szCs w:val="30"/>
              </w:rPr>
            </w:pPr>
            <w:r>
              <w:rPr>
                <w:rFonts w:asciiTheme="minorEastAsia" w:hAnsiTheme="minorEastAsia" w:cs="宋体" w:hint="eastAsia"/>
                <w:color w:val="000000"/>
                <w:sz w:val="30"/>
                <w:szCs w:val="30"/>
              </w:rPr>
              <w:t>1</w:t>
            </w:r>
            <w:r w:rsidR="00D36BC4">
              <w:rPr>
                <w:rFonts w:asciiTheme="minorEastAsia" w:hAnsiTheme="minorEastAsia" w:cs="宋体"/>
                <w:color w:val="000000"/>
                <w:sz w:val="30"/>
                <w:szCs w:val="30"/>
              </w:rPr>
              <w:t>5.73</w:t>
            </w:r>
          </w:p>
        </w:tc>
      </w:tr>
      <w:tr w:rsidR="002F4817" w:rsidRPr="00B0577D" w:rsidTr="00F76B94">
        <w:trPr>
          <w:trHeight w:val="402"/>
          <w:jc w:val="center"/>
        </w:trPr>
        <w:tc>
          <w:tcPr>
            <w:tcW w:w="1596" w:type="dxa"/>
            <w:tcBorders>
              <w:top w:val="single" w:sz="4" w:space="0" w:color="auto"/>
            </w:tcBorders>
            <w:shd w:val="clear" w:color="000000" w:fill="FCD5B4"/>
            <w:noWrap/>
            <w:vAlign w:val="bottom"/>
            <w:hideMark/>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中小板指</w:t>
            </w:r>
          </w:p>
        </w:tc>
        <w:tc>
          <w:tcPr>
            <w:tcW w:w="1664" w:type="dxa"/>
            <w:tcBorders>
              <w:top w:val="single" w:sz="4" w:space="0" w:color="auto"/>
            </w:tcBorders>
            <w:shd w:val="clear" w:color="000000" w:fill="FCD5B4"/>
            <w:noWrap/>
            <w:vAlign w:val="bottom"/>
            <w:hideMark/>
          </w:tcPr>
          <w:p w:rsidR="002F4817" w:rsidRPr="00B0577D" w:rsidRDefault="00D36BC4" w:rsidP="00B0577D">
            <w:pPr>
              <w:spacing w:line="480" w:lineRule="auto"/>
              <w:jc w:val="center"/>
              <w:rPr>
                <w:rFonts w:asciiTheme="minorEastAsia" w:hAnsiTheme="minorEastAsia" w:cs="宋体"/>
                <w:color w:val="000000"/>
                <w:sz w:val="30"/>
                <w:szCs w:val="30"/>
              </w:rPr>
            </w:pPr>
            <w:r>
              <w:rPr>
                <w:rFonts w:asciiTheme="minorEastAsia" w:hAnsiTheme="minorEastAsia" w:cs="宋体"/>
                <w:color w:val="000000"/>
                <w:sz w:val="30"/>
                <w:szCs w:val="30"/>
              </w:rPr>
              <w:t>5883.09</w:t>
            </w:r>
          </w:p>
        </w:tc>
        <w:tc>
          <w:tcPr>
            <w:tcW w:w="2410" w:type="dxa"/>
            <w:shd w:val="clear" w:color="000000" w:fill="FCD5B4"/>
            <w:noWrap/>
            <w:vAlign w:val="bottom"/>
            <w:hideMark/>
          </w:tcPr>
          <w:p w:rsidR="002F4817" w:rsidRPr="00B0577D" w:rsidRDefault="00D36BC4" w:rsidP="00D961D8">
            <w:pPr>
              <w:spacing w:line="480" w:lineRule="auto"/>
              <w:jc w:val="center"/>
              <w:rPr>
                <w:rFonts w:asciiTheme="minorEastAsia" w:hAnsiTheme="minorEastAsia" w:cs="宋体"/>
                <w:color w:val="000000"/>
                <w:sz w:val="30"/>
                <w:szCs w:val="30"/>
              </w:rPr>
            </w:pPr>
            <w:r>
              <w:rPr>
                <w:rFonts w:asciiTheme="minorEastAsia" w:hAnsiTheme="minorEastAsia" w:cs="宋体"/>
                <w:color w:val="000000"/>
                <w:sz w:val="30"/>
                <w:szCs w:val="30"/>
              </w:rPr>
              <w:t>1.53</w:t>
            </w:r>
          </w:p>
        </w:tc>
        <w:tc>
          <w:tcPr>
            <w:tcW w:w="2830" w:type="dxa"/>
            <w:shd w:val="clear" w:color="000000" w:fill="FCD5B4"/>
          </w:tcPr>
          <w:p w:rsidR="002F4817" w:rsidRPr="00B0577D" w:rsidRDefault="00125393" w:rsidP="00D36BC4">
            <w:pPr>
              <w:spacing w:line="480" w:lineRule="auto"/>
              <w:jc w:val="center"/>
              <w:rPr>
                <w:rFonts w:asciiTheme="minorEastAsia" w:hAnsiTheme="minorEastAsia" w:cs="宋体"/>
                <w:color w:val="000000"/>
                <w:sz w:val="30"/>
                <w:szCs w:val="30"/>
              </w:rPr>
            </w:pPr>
            <w:r>
              <w:rPr>
                <w:rFonts w:asciiTheme="minorEastAsia" w:hAnsiTheme="minorEastAsia" w:cs="宋体" w:hint="eastAsia"/>
                <w:color w:val="000000"/>
                <w:sz w:val="30"/>
                <w:szCs w:val="30"/>
              </w:rPr>
              <w:t>2</w:t>
            </w:r>
            <w:r w:rsidR="00D36BC4">
              <w:rPr>
                <w:rFonts w:asciiTheme="minorEastAsia" w:hAnsiTheme="minorEastAsia" w:cs="宋体"/>
                <w:color w:val="000000"/>
                <w:sz w:val="30"/>
                <w:szCs w:val="30"/>
              </w:rPr>
              <w:t>5.09</w:t>
            </w:r>
          </w:p>
        </w:tc>
      </w:tr>
      <w:tr w:rsidR="002F4817" w:rsidRPr="00B0577D" w:rsidTr="00F76B94">
        <w:trPr>
          <w:trHeight w:val="402"/>
          <w:jc w:val="center"/>
        </w:trPr>
        <w:tc>
          <w:tcPr>
            <w:tcW w:w="1596" w:type="dxa"/>
            <w:tcBorders>
              <w:top w:val="single" w:sz="4" w:space="0" w:color="auto"/>
            </w:tcBorders>
            <w:shd w:val="clear" w:color="000000" w:fill="FCD5B4"/>
            <w:noWrap/>
            <w:vAlign w:val="bottom"/>
            <w:hideMark/>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创业板指</w:t>
            </w:r>
          </w:p>
        </w:tc>
        <w:tc>
          <w:tcPr>
            <w:tcW w:w="1664" w:type="dxa"/>
            <w:tcBorders>
              <w:top w:val="single" w:sz="4" w:space="0" w:color="auto"/>
            </w:tcBorders>
            <w:shd w:val="clear" w:color="000000" w:fill="FCD5B4"/>
            <w:noWrap/>
            <w:vAlign w:val="bottom"/>
            <w:hideMark/>
          </w:tcPr>
          <w:p w:rsidR="002F4817" w:rsidRPr="00B0577D" w:rsidRDefault="00D36BC4" w:rsidP="00B0577D">
            <w:pPr>
              <w:spacing w:line="480" w:lineRule="auto"/>
              <w:jc w:val="center"/>
              <w:rPr>
                <w:rFonts w:asciiTheme="minorEastAsia" w:hAnsiTheme="minorEastAsia" w:cs="宋体"/>
                <w:color w:val="000000"/>
                <w:sz w:val="30"/>
                <w:szCs w:val="30"/>
              </w:rPr>
            </w:pPr>
            <w:r>
              <w:rPr>
                <w:rFonts w:asciiTheme="minorEastAsia" w:hAnsiTheme="minorEastAsia" w:cs="宋体" w:hint="eastAsia"/>
                <w:color w:val="000000"/>
                <w:sz w:val="30"/>
                <w:szCs w:val="30"/>
              </w:rPr>
              <w:t>1610.9</w:t>
            </w:r>
          </w:p>
        </w:tc>
        <w:tc>
          <w:tcPr>
            <w:tcW w:w="2410" w:type="dxa"/>
            <w:shd w:val="clear" w:color="000000" w:fill="FCD5B4"/>
            <w:noWrap/>
            <w:vAlign w:val="bottom"/>
            <w:hideMark/>
          </w:tcPr>
          <w:p w:rsidR="002F4817" w:rsidRPr="00B0577D" w:rsidRDefault="00D36BC4" w:rsidP="00B0577D">
            <w:pPr>
              <w:spacing w:line="480" w:lineRule="auto"/>
              <w:jc w:val="center"/>
              <w:rPr>
                <w:rFonts w:asciiTheme="minorEastAsia" w:hAnsiTheme="minorEastAsia" w:cs="宋体"/>
                <w:color w:val="000000"/>
                <w:sz w:val="30"/>
                <w:szCs w:val="30"/>
              </w:rPr>
            </w:pPr>
            <w:r>
              <w:rPr>
                <w:rFonts w:asciiTheme="minorEastAsia" w:hAnsiTheme="minorEastAsia" w:cs="宋体" w:hint="eastAsia"/>
                <w:color w:val="000000"/>
                <w:sz w:val="30"/>
                <w:szCs w:val="30"/>
              </w:rPr>
              <w:t>2.58</w:t>
            </w:r>
          </w:p>
        </w:tc>
        <w:tc>
          <w:tcPr>
            <w:tcW w:w="2830" w:type="dxa"/>
            <w:shd w:val="clear" w:color="000000" w:fill="FCD5B4"/>
          </w:tcPr>
          <w:p w:rsidR="002F4817" w:rsidRPr="00B0577D" w:rsidRDefault="004D551C" w:rsidP="00D36BC4">
            <w:pPr>
              <w:spacing w:line="480" w:lineRule="auto"/>
              <w:jc w:val="center"/>
              <w:rPr>
                <w:rFonts w:asciiTheme="minorEastAsia" w:hAnsiTheme="minorEastAsia" w:cs="宋体"/>
                <w:color w:val="000000"/>
                <w:sz w:val="30"/>
                <w:szCs w:val="30"/>
              </w:rPr>
            </w:pPr>
            <w:r>
              <w:rPr>
                <w:rFonts w:asciiTheme="minorEastAsia" w:hAnsiTheme="minorEastAsia" w:cs="宋体" w:hint="eastAsia"/>
                <w:color w:val="000000"/>
                <w:sz w:val="30"/>
                <w:szCs w:val="30"/>
              </w:rPr>
              <w:t>2</w:t>
            </w:r>
            <w:r w:rsidR="00D36BC4">
              <w:rPr>
                <w:rFonts w:asciiTheme="minorEastAsia" w:hAnsiTheme="minorEastAsia" w:cs="宋体"/>
                <w:color w:val="000000"/>
                <w:sz w:val="30"/>
                <w:szCs w:val="30"/>
              </w:rPr>
              <w:t>8.82</w:t>
            </w:r>
          </w:p>
        </w:tc>
      </w:tr>
    </w:tbl>
    <w:p w:rsidR="005B007A" w:rsidRPr="00B0577D" w:rsidRDefault="005B007A" w:rsidP="00B0577D">
      <w:pPr>
        <w:spacing w:line="480" w:lineRule="auto"/>
        <w:ind w:firstLineChars="200" w:firstLine="600"/>
        <w:rPr>
          <w:rFonts w:asciiTheme="minorEastAsia" w:hAnsiTheme="minorEastAsia"/>
          <w:color w:val="000000" w:themeColor="text1"/>
          <w:sz w:val="30"/>
          <w:szCs w:val="30"/>
          <w:shd w:val="clear" w:color="auto" w:fill="FFFFFF"/>
        </w:rPr>
      </w:pPr>
    </w:p>
    <w:p w:rsidR="002F4817" w:rsidRPr="00B0577D" w:rsidRDefault="002F4817" w:rsidP="00B0577D">
      <w:pPr>
        <w:spacing w:line="480" w:lineRule="auto"/>
        <w:ind w:firstLineChars="200" w:firstLine="600"/>
        <w:rPr>
          <w:rFonts w:asciiTheme="minorEastAsia" w:hAnsiTheme="minorEastAsia"/>
          <w:color w:val="000000" w:themeColor="text1"/>
          <w:sz w:val="30"/>
          <w:szCs w:val="30"/>
          <w:shd w:val="clear" w:color="auto" w:fill="FFFFFF"/>
        </w:rPr>
      </w:pPr>
      <w:r w:rsidRPr="00B0577D">
        <w:rPr>
          <w:rFonts w:asciiTheme="minorEastAsia" w:hAnsiTheme="minorEastAsia" w:hint="eastAsia"/>
          <w:color w:val="000000" w:themeColor="text1"/>
          <w:sz w:val="30"/>
          <w:szCs w:val="30"/>
          <w:shd w:val="clear" w:color="auto" w:fill="FFFFFF"/>
        </w:rPr>
        <w:t>细分到</w:t>
      </w:r>
      <w:r w:rsidR="00C54D0D">
        <w:rPr>
          <w:rFonts w:asciiTheme="minorEastAsia" w:hAnsiTheme="minorEastAsia" w:hint="eastAsia"/>
          <w:color w:val="000000" w:themeColor="text1"/>
          <w:sz w:val="30"/>
          <w:szCs w:val="30"/>
          <w:shd w:val="clear" w:color="auto" w:fill="FFFFFF"/>
        </w:rPr>
        <w:t>申万一级行业</w:t>
      </w:r>
      <w:r w:rsidRPr="00B0577D">
        <w:rPr>
          <w:rFonts w:asciiTheme="minorEastAsia" w:hAnsiTheme="minorEastAsia"/>
          <w:color w:val="000000" w:themeColor="text1"/>
          <w:sz w:val="30"/>
          <w:szCs w:val="30"/>
          <w:shd w:val="clear" w:color="auto" w:fill="FFFFFF"/>
        </w:rPr>
        <w:t>上，</w:t>
      </w:r>
      <w:r w:rsidR="00C54D0D">
        <w:rPr>
          <w:rFonts w:asciiTheme="minorEastAsia" w:hAnsiTheme="minorEastAsia" w:hint="eastAsia"/>
          <w:color w:val="000000" w:themeColor="text1"/>
          <w:sz w:val="30"/>
          <w:szCs w:val="30"/>
          <w:shd w:val="clear" w:color="auto" w:fill="FFFFFF"/>
        </w:rPr>
        <w:t>本月</w:t>
      </w:r>
      <w:r w:rsidRPr="00B0577D">
        <w:rPr>
          <w:rFonts w:asciiTheme="minorEastAsia" w:hAnsiTheme="minorEastAsia"/>
          <w:color w:val="000000" w:themeColor="text1"/>
          <w:sz w:val="30"/>
          <w:szCs w:val="30"/>
          <w:shd w:val="clear" w:color="auto" w:fill="FFFFFF"/>
        </w:rPr>
        <w:t>涨</w:t>
      </w:r>
      <w:r w:rsidR="001F6F25">
        <w:rPr>
          <w:rFonts w:asciiTheme="minorEastAsia" w:hAnsiTheme="minorEastAsia" w:hint="eastAsia"/>
          <w:color w:val="000000" w:themeColor="text1"/>
          <w:sz w:val="30"/>
          <w:szCs w:val="30"/>
          <w:shd w:val="clear" w:color="auto" w:fill="FFFFFF"/>
        </w:rPr>
        <w:t>幅</w:t>
      </w:r>
      <w:r w:rsidR="001F6F25">
        <w:rPr>
          <w:rFonts w:asciiTheme="minorEastAsia" w:hAnsiTheme="minorEastAsia"/>
          <w:color w:val="000000" w:themeColor="text1"/>
          <w:sz w:val="30"/>
          <w:szCs w:val="30"/>
          <w:shd w:val="clear" w:color="auto" w:fill="FFFFFF"/>
        </w:rPr>
        <w:t>居前的</w:t>
      </w:r>
      <w:r w:rsidR="001F6F25">
        <w:rPr>
          <w:rFonts w:asciiTheme="minorEastAsia" w:hAnsiTheme="minorEastAsia" w:hint="eastAsia"/>
          <w:color w:val="000000" w:themeColor="text1"/>
          <w:sz w:val="30"/>
          <w:szCs w:val="30"/>
          <w:shd w:val="clear" w:color="auto" w:fill="FFFFFF"/>
        </w:rPr>
        <w:t>板块</w:t>
      </w:r>
      <w:r w:rsidR="0059650F">
        <w:rPr>
          <w:rFonts w:asciiTheme="minorEastAsia" w:hAnsiTheme="minorEastAsia" w:hint="eastAsia"/>
          <w:color w:val="000000" w:themeColor="text1"/>
          <w:sz w:val="30"/>
          <w:szCs w:val="30"/>
          <w:shd w:val="clear" w:color="auto" w:fill="FFFFFF"/>
        </w:rPr>
        <w:t>主要</w:t>
      </w:r>
      <w:r w:rsidRPr="00B0577D">
        <w:rPr>
          <w:rFonts w:asciiTheme="minorEastAsia" w:hAnsiTheme="minorEastAsia"/>
          <w:color w:val="000000" w:themeColor="text1"/>
          <w:sz w:val="30"/>
          <w:szCs w:val="30"/>
          <w:shd w:val="clear" w:color="auto" w:fill="FFFFFF"/>
        </w:rPr>
        <w:t>是</w:t>
      </w:r>
      <w:r w:rsidR="00B33D9C">
        <w:rPr>
          <w:rFonts w:asciiTheme="minorEastAsia" w:hAnsiTheme="minorEastAsia" w:hint="eastAsia"/>
          <w:color w:val="000000" w:themeColor="text1"/>
          <w:sz w:val="30"/>
          <w:szCs w:val="30"/>
          <w:shd w:val="clear" w:color="auto" w:fill="FFFFFF"/>
        </w:rPr>
        <w:t>食品</w:t>
      </w:r>
      <w:r w:rsidR="00B33D9C">
        <w:rPr>
          <w:rFonts w:asciiTheme="minorEastAsia" w:hAnsiTheme="minorEastAsia"/>
          <w:color w:val="000000" w:themeColor="text1"/>
          <w:sz w:val="30"/>
          <w:szCs w:val="30"/>
          <w:shd w:val="clear" w:color="auto" w:fill="FFFFFF"/>
        </w:rPr>
        <w:t>饮料、医药生物、</w:t>
      </w:r>
      <w:r w:rsidR="000B7ABD">
        <w:rPr>
          <w:rFonts w:asciiTheme="minorEastAsia" w:hAnsiTheme="minorEastAsia" w:hint="eastAsia"/>
          <w:color w:val="000000" w:themeColor="text1"/>
          <w:sz w:val="30"/>
          <w:szCs w:val="30"/>
          <w:shd w:val="clear" w:color="auto" w:fill="FFFFFF"/>
        </w:rPr>
        <w:t>电子、</w:t>
      </w:r>
      <w:r w:rsidR="00B33D9C">
        <w:rPr>
          <w:rFonts w:asciiTheme="minorEastAsia" w:hAnsiTheme="minorEastAsia" w:hint="eastAsia"/>
          <w:color w:val="000000" w:themeColor="text1"/>
          <w:sz w:val="30"/>
          <w:szCs w:val="30"/>
          <w:shd w:val="clear" w:color="auto" w:fill="FFFFFF"/>
        </w:rPr>
        <w:t>计算机</w:t>
      </w:r>
      <w:r w:rsidR="000B7ABD">
        <w:rPr>
          <w:rFonts w:asciiTheme="minorEastAsia" w:hAnsiTheme="minorEastAsia" w:hint="eastAsia"/>
          <w:color w:val="000000" w:themeColor="text1"/>
          <w:sz w:val="30"/>
          <w:szCs w:val="30"/>
          <w:shd w:val="clear" w:color="auto" w:fill="FFFFFF"/>
        </w:rPr>
        <w:t>等</w:t>
      </w:r>
      <w:r w:rsidR="004B7FAF">
        <w:rPr>
          <w:rFonts w:asciiTheme="minorEastAsia" w:hAnsiTheme="minorEastAsia" w:hint="eastAsia"/>
          <w:color w:val="000000" w:themeColor="text1"/>
          <w:sz w:val="30"/>
          <w:szCs w:val="30"/>
          <w:shd w:val="clear" w:color="auto" w:fill="FFFFFF"/>
        </w:rPr>
        <w:t>，其涨幅依次为</w:t>
      </w:r>
      <w:r w:rsidR="004A628B">
        <w:rPr>
          <w:rFonts w:asciiTheme="minorEastAsia" w:hAnsiTheme="minorEastAsia"/>
          <w:color w:val="000000" w:themeColor="text1"/>
          <w:sz w:val="30"/>
          <w:szCs w:val="30"/>
          <w:shd w:val="clear" w:color="auto" w:fill="FFFFFF"/>
        </w:rPr>
        <w:t>9.31</w:t>
      </w:r>
      <w:r w:rsidR="004B7FAF">
        <w:rPr>
          <w:rFonts w:asciiTheme="minorEastAsia" w:hAnsiTheme="minorEastAsia" w:hint="eastAsia"/>
          <w:color w:val="000000" w:themeColor="text1"/>
          <w:sz w:val="30"/>
          <w:szCs w:val="30"/>
          <w:shd w:val="clear" w:color="auto" w:fill="FFFFFF"/>
        </w:rPr>
        <w:t>%、</w:t>
      </w:r>
      <w:r w:rsidR="004A628B">
        <w:rPr>
          <w:rFonts w:asciiTheme="minorEastAsia" w:hAnsiTheme="minorEastAsia" w:hint="eastAsia"/>
          <w:color w:val="000000" w:themeColor="text1"/>
          <w:sz w:val="30"/>
          <w:szCs w:val="30"/>
          <w:shd w:val="clear" w:color="auto" w:fill="FFFFFF"/>
        </w:rPr>
        <w:t>7.79</w:t>
      </w:r>
      <w:r w:rsidR="004B7FAF">
        <w:rPr>
          <w:rFonts w:asciiTheme="minorEastAsia" w:hAnsiTheme="minorEastAsia" w:hint="eastAsia"/>
          <w:color w:val="000000" w:themeColor="text1"/>
          <w:sz w:val="30"/>
          <w:szCs w:val="30"/>
          <w:shd w:val="clear" w:color="auto" w:fill="FFFFFF"/>
        </w:rPr>
        <w:t>%、</w:t>
      </w:r>
      <w:r w:rsidR="004A628B">
        <w:rPr>
          <w:rFonts w:asciiTheme="minorEastAsia" w:hAnsiTheme="minorEastAsia" w:hint="eastAsia"/>
          <w:color w:val="000000" w:themeColor="text1"/>
          <w:sz w:val="30"/>
          <w:szCs w:val="30"/>
          <w:shd w:val="clear" w:color="auto" w:fill="FFFFFF"/>
        </w:rPr>
        <w:t>7.35</w:t>
      </w:r>
      <w:r w:rsidR="004B7FAF">
        <w:rPr>
          <w:rFonts w:asciiTheme="minorEastAsia" w:hAnsiTheme="minorEastAsia" w:hint="eastAsia"/>
          <w:color w:val="000000" w:themeColor="text1"/>
          <w:sz w:val="30"/>
          <w:szCs w:val="30"/>
          <w:shd w:val="clear" w:color="auto" w:fill="FFFFFF"/>
        </w:rPr>
        <w:t>%、</w:t>
      </w:r>
      <w:r w:rsidR="004A628B">
        <w:rPr>
          <w:rFonts w:asciiTheme="minorEastAsia" w:hAnsiTheme="minorEastAsia" w:hint="eastAsia"/>
          <w:color w:val="000000" w:themeColor="text1"/>
          <w:sz w:val="30"/>
          <w:szCs w:val="30"/>
          <w:shd w:val="clear" w:color="auto" w:fill="FFFFFF"/>
        </w:rPr>
        <w:t>5.49</w:t>
      </w:r>
      <w:r w:rsidR="004B7FAF">
        <w:rPr>
          <w:rFonts w:asciiTheme="minorEastAsia" w:hAnsiTheme="minorEastAsia" w:hint="eastAsia"/>
          <w:color w:val="000000" w:themeColor="text1"/>
          <w:sz w:val="30"/>
          <w:szCs w:val="30"/>
          <w:shd w:val="clear" w:color="auto" w:fill="FFFFFF"/>
        </w:rPr>
        <w:t>%</w:t>
      </w:r>
      <w:r w:rsidR="0087581E">
        <w:rPr>
          <w:rFonts w:asciiTheme="minorEastAsia" w:hAnsiTheme="minorEastAsia" w:hint="eastAsia"/>
          <w:color w:val="000000" w:themeColor="text1"/>
          <w:sz w:val="30"/>
          <w:szCs w:val="30"/>
          <w:shd w:val="clear" w:color="auto" w:fill="FFFFFF"/>
        </w:rPr>
        <w:t>等</w:t>
      </w:r>
      <w:r w:rsidRPr="00B0577D">
        <w:rPr>
          <w:rFonts w:asciiTheme="minorEastAsia" w:hAnsiTheme="minorEastAsia"/>
          <w:color w:val="000000" w:themeColor="text1"/>
          <w:sz w:val="30"/>
          <w:szCs w:val="30"/>
          <w:shd w:val="clear" w:color="auto" w:fill="FFFFFF"/>
        </w:rPr>
        <w:t>；其中</w:t>
      </w:r>
      <w:r w:rsidR="001F6F25">
        <w:rPr>
          <w:rFonts w:asciiTheme="minorEastAsia" w:hAnsiTheme="minorEastAsia" w:hint="eastAsia"/>
          <w:color w:val="000000" w:themeColor="text1"/>
          <w:sz w:val="30"/>
          <w:szCs w:val="30"/>
          <w:shd w:val="clear" w:color="auto" w:fill="FFFFFF"/>
        </w:rPr>
        <w:t>跌幅较</w:t>
      </w:r>
      <w:r w:rsidR="001F6F25">
        <w:rPr>
          <w:rFonts w:asciiTheme="minorEastAsia" w:hAnsiTheme="minorEastAsia"/>
          <w:color w:val="000000" w:themeColor="text1"/>
          <w:sz w:val="30"/>
          <w:szCs w:val="30"/>
          <w:shd w:val="clear" w:color="auto" w:fill="FFFFFF"/>
        </w:rPr>
        <w:t>深</w:t>
      </w:r>
      <w:r w:rsidRPr="00B0577D">
        <w:rPr>
          <w:rFonts w:asciiTheme="minorEastAsia" w:hAnsiTheme="minorEastAsia" w:hint="eastAsia"/>
          <w:color w:val="000000" w:themeColor="text1"/>
          <w:sz w:val="30"/>
          <w:szCs w:val="30"/>
          <w:shd w:val="clear" w:color="auto" w:fill="FFFFFF"/>
        </w:rPr>
        <w:t>的板块主要是</w:t>
      </w:r>
      <w:r w:rsidR="0087581E">
        <w:rPr>
          <w:rFonts w:asciiTheme="minorEastAsia" w:hAnsiTheme="minorEastAsia" w:hint="eastAsia"/>
          <w:color w:val="000000" w:themeColor="text1"/>
          <w:sz w:val="30"/>
          <w:szCs w:val="30"/>
          <w:shd w:val="clear" w:color="auto" w:fill="FFFFFF"/>
        </w:rPr>
        <w:t>钢铁、</w:t>
      </w:r>
      <w:r w:rsidR="00F768F8">
        <w:rPr>
          <w:rFonts w:asciiTheme="minorEastAsia" w:hAnsiTheme="minorEastAsia" w:hint="eastAsia"/>
          <w:color w:val="000000" w:themeColor="text1"/>
          <w:sz w:val="30"/>
          <w:szCs w:val="30"/>
          <w:shd w:val="clear" w:color="auto" w:fill="FFFFFF"/>
        </w:rPr>
        <w:t>建筑</w:t>
      </w:r>
      <w:r w:rsidR="00F768F8">
        <w:rPr>
          <w:rFonts w:asciiTheme="minorEastAsia" w:hAnsiTheme="minorEastAsia"/>
          <w:color w:val="000000" w:themeColor="text1"/>
          <w:sz w:val="30"/>
          <w:szCs w:val="30"/>
          <w:shd w:val="clear" w:color="auto" w:fill="FFFFFF"/>
        </w:rPr>
        <w:t>装饰、银行、房地产</w:t>
      </w:r>
      <w:r w:rsidR="0087581E">
        <w:rPr>
          <w:rFonts w:asciiTheme="minorEastAsia" w:hAnsiTheme="minorEastAsia" w:hint="eastAsia"/>
          <w:color w:val="000000" w:themeColor="text1"/>
          <w:sz w:val="30"/>
          <w:szCs w:val="30"/>
          <w:shd w:val="clear" w:color="auto" w:fill="FFFFFF"/>
        </w:rPr>
        <w:t>等</w:t>
      </w:r>
      <w:r w:rsidRPr="00B0577D">
        <w:rPr>
          <w:rFonts w:asciiTheme="minorEastAsia" w:hAnsiTheme="minorEastAsia" w:hint="eastAsia"/>
          <w:color w:val="000000" w:themeColor="text1"/>
          <w:sz w:val="30"/>
          <w:szCs w:val="30"/>
          <w:shd w:val="clear" w:color="auto" w:fill="FFFFFF"/>
        </w:rPr>
        <w:t>，</w:t>
      </w:r>
      <w:r w:rsidR="009260B1">
        <w:rPr>
          <w:rFonts w:asciiTheme="minorEastAsia" w:hAnsiTheme="minorEastAsia" w:hint="eastAsia"/>
          <w:color w:val="000000" w:themeColor="text1"/>
          <w:sz w:val="30"/>
          <w:szCs w:val="30"/>
          <w:shd w:val="clear" w:color="auto" w:fill="FFFFFF"/>
        </w:rPr>
        <w:t>其涨幅依次为</w:t>
      </w:r>
      <w:r w:rsidR="009260B1">
        <w:rPr>
          <w:rFonts w:asciiTheme="minorEastAsia" w:hAnsiTheme="minorEastAsia" w:cs="宋体" w:hint="eastAsia"/>
          <w:color w:val="000000"/>
          <w:sz w:val="30"/>
          <w:szCs w:val="30"/>
        </w:rPr>
        <w:t>-</w:t>
      </w:r>
      <w:r w:rsidR="00F768F8">
        <w:rPr>
          <w:rFonts w:asciiTheme="minorEastAsia" w:hAnsiTheme="minorEastAsia" w:cs="宋体"/>
          <w:color w:val="000000"/>
          <w:sz w:val="30"/>
          <w:szCs w:val="30"/>
        </w:rPr>
        <w:t>5.55</w:t>
      </w:r>
      <w:r w:rsidR="009260B1">
        <w:rPr>
          <w:rFonts w:asciiTheme="minorEastAsia" w:hAnsiTheme="minorEastAsia" w:hint="eastAsia"/>
          <w:color w:val="000000" w:themeColor="text1"/>
          <w:sz w:val="30"/>
          <w:szCs w:val="30"/>
          <w:shd w:val="clear" w:color="auto" w:fill="FFFFFF"/>
        </w:rPr>
        <w:t>%、</w:t>
      </w:r>
      <w:r w:rsidR="009260B1">
        <w:rPr>
          <w:rFonts w:asciiTheme="minorEastAsia" w:hAnsiTheme="minorEastAsia" w:cs="宋体" w:hint="eastAsia"/>
          <w:color w:val="000000"/>
          <w:sz w:val="30"/>
          <w:szCs w:val="30"/>
        </w:rPr>
        <w:t>-</w:t>
      </w:r>
      <w:r w:rsidR="00F768F8">
        <w:rPr>
          <w:rFonts w:asciiTheme="minorEastAsia" w:hAnsiTheme="minorEastAsia" w:cs="宋体"/>
          <w:color w:val="000000"/>
          <w:sz w:val="30"/>
          <w:szCs w:val="30"/>
        </w:rPr>
        <w:t>5.28</w:t>
      </w:r>
      <w:r w:rsidR="009260B1">
        <w:rPr>
          <w:rFonts w:asciiTheme="minorEastAsia" w:hAnsiTheme="minorEastAsia" w:hint="eastAsia"/>
          <w:color w:val="000000" w:themeColor="text1"/>
          <w:sz w:val="30"/>
          <w:szCs w:val="30"/>
          <w:shd w:val="clear" w:color="auto" w:fill="FFFFFF"/>
        </w:rPr>
        <w:t>%、</w:t>
      </w:r>
      <w:r w:rsidR="009260B1">
        <w:rPr>
          <w:rFonts w:asciiTheme="minorEastAsia" w:hAnsiTheme="minorEastAsia" w:cs="宋体" w:hint="eastAsia"/>
          <w:color w:val="000000"/>
          <w:sz w:val="30"/>
          <w:szCs w:val="30"/>
        </w:rPr>
        <w:t>-</w:t>
      </w:r>
      <w:r w:rsidR="00F768F8">
        <w:rPr>
          <w:rFonts w:asciiTheme="minorEastAsia" w:hAnsiTheme="minorEastAsia" w:cs="宋体"/>
          <w:color w:val="000000"/>
          <w:sz w:val="30"/>
          <w:szCs w:val="30"/>
        </w:rPr>
        <w:t>5.27</w:t>
      </w:r>
      <w:r w:rsidR="009260B1">
        <w:rPr>
          <w:rFonts w:asciiTheme="minorEastAsia" w:hAnsiTheme="minorEastAsia" w:hint="eastAsia"/>
          <w:color w:val="000000" w:themeColor="text1"/>
          <w:sz w:val="30"/>
          <w:szCs w:val="30"/>
          <w:shd w:val="clear" w:color="auto" w:fill="FFFFFF"/>
        </w:rPr>
        <w:t>%</w:t>
      </w:r>
      <w:r w:rsidR="009260B1">
        <w:rPr>
          <w:rFonts w:asciiTheme="minorEastAsia" w:hAnsiTheme="minorEastAsia" w:cs="宋体" w:hint="eastAsia"/>
          <w:color w:val="000000"/>
          <w:sz w:val="30"/>
          <w:szCs w:val="30"/>
        </w:rPr>
        <w:t>、-</w:t>
      </w:r>
      <w:r w:rsidR="00F768F8">
        <w:rPr>
          <w:rFonts w:asciiTheme="minorEastAsia" w:hAnsiTheme="minorEastAsia" w:cs="宋体"/>
          <w:color w:val="000000"/>
          <w:sz w:val="30"/>
          <w:szCs w:val="30"/>
        </w:rPr>
        <w:t>4.86</w:t>
      </w:r>
      <w:r w:rsidR="009260B1">
        <w:rPr>
          <w:rFonts w:asciiTheme="minorEastAsia" w:hAnsiTheme="minorEastAsia" w:hint="eastAsia"/>
          <w:color w:val="000000" w:themeColor="text1"/>
          <w:sz w:val="30"/>
          <w:szCs w:val="30"/>
          <w:shd w:val="clear" w:color="auto" w:fill="FFFFFF"/>
        </w:rPr>
        <w:t>%</w:t>
      </w:r>
      <w:r w:rsidR="000234F9">
        <w:rPr>
          <w:rFonts w:asciiTheme="minorEastAsia" w:hAnsiTheme="minorEastAsia" w:hint="eastAsia"/>
          <w:color w:val="000000" w:themeColor="text1"/>
          <w:sz w:val="30"/>
          <w:szCs w:val="30"/>
          <w:shd w:val="clear" w:color="auto" w:fill="FFFFFF"/>
        </w:rPr>
        <w:t>等。</w:t>
      </w:r>
      <w:r w:rsidRPr="00B0577D">
        <w:rPr>
          <w:rFonts w:asciiTheme="minorEastAsia" w:hAnsiTheme="minorEastAsia" w:hint="eastAsia"/>
          <w:color w:val="000000" w:themeColor="text1"/>
          <w:sz w:val="30"/>
          <w:szCs w:val="30"/>
          <w:shd w:val="clear" w:color="auto" w:fill="FFFFFF"/>
        </w:rPr>
        <w:t>板块具体</w:t>
      </w:r>
      <w:r w:rsidRPr="00B0577D">
        <w:rPr>
          <w:rFonts w:asciiTheme="minorEastAsia" w:hAnsiTheme="minorEastAsia"/>
          <w:color w:val="000000" w:themeColor="text1"/>
          <w:sz w:val="30"/>
          <w:szCs w:val="30"/>
          <w:shd w:val="clear" w:color="auto" w:fill="FFFFFF"/>
        </w:rPr>
        <w:t>涨</w:t>
      </w:r>
      <w:r w:rsidRPr="00B0577D">
        <w:rPr>
          <w:rFonts w:asciiTheme="minorEastAsia" w:hAnsiTheme="minorEastAsia" w:hint="eastAsia"/>
          <w:color w:val="000000" w:themeColor="text1"/>
          <w:sz w:val="30"/>
          <w:szCs w:val="30"/>
          <w:shd w:val="clear" w:color="auto" w:fill="FFFFFF"/>
        </w:rPr>
        <w:t>跌</w:t>
      </w:r>
      <w:r w:rsidRPr="00B0577D">
        <w:rPr>
          <w:rFonts w:asciiTheme="minorEastAsia" w:hAnsiTheme="minorEastAsia"/>
          <w:color w:val="000000" w:themeColor="text1"/>
          <w:sz w:val="30"/>
          <w:szCs w:val="30"/>
          <w:shd w:val="clear" w:color="auto" w:fill="FFFFFF"/>
        </w:rPr>
        <w:t>幅如图</w:t>
      </w:r>
      <w:r w:rsidRPr="00B0577D">
        <w:rPr>
          <w:rFonts w:asciiTheme="minorEastAsia" w:hAnsiTheme="minorEastAsia" w:hint="eastAsia"/>
          <w:color w:val="000000" w:themeColor="text1"/>
          <w:sz w:val="30"/>
          <w:szCs w:val="30"/>
          <w:shd w:val="clear" w:color="auto" w:fill="FFFFFF"/>
        </w:rPr>
        <w:t>2</w:t>
      </w:r>
      <w:r w:rsidRPr="00B0577D">
        <w:rPr>
          <w:rFonts w:asciiTheme="minorEastAsia" w:hAnsiTheme="minorEastAsia"/>
          <w:color w:val="000000" w:themeColor="text1"/>
          <w:sz w:val="30"/>
          <w:szCs w:val="30"/>
          <w:shd w:val="clear" w:color="auto" w:fill="FFFFFF"/>
        </w:rPr>
        <w:t>所示：</w:t>
      </w:r>
    </w:p>
    <w:p w:rsidR="00AF731C" w:rsidRDefault="00AF731C" w:rsidP="00B0577D">
      <w:pPr>
        <w:spacing w:line="480" w:lineRule="auto"/>
        <w:ind w:firstLineChars="200" w:firstLine="600"/>
        <w:jc w:val="center"/>
        <w:rPr>
          <w:rFonts w:asciiTheme="minorEastAsia" w:hAnsiTheme="minorEastAsia"/>
          <w:sz w:val="30"/>
          <w:szCs w:val="30"/>
        </w:rPr>
      </w:pPr>
    </w:p>
    <w:p w:rsidR="00AF731C" w:rsidRDefault="00AF731C" w:rsidP="00B0577D">
      <w:pPr>
        <w:spacing w:line="480" w:lineRule="auto"/>
        <w:ind w:firstLineChars="200" w:firstLine="600"/>
        <w:jc w:val="center"/>
        <w:rPr>
          <w:rFonts w:asciiTheme="minorEastAsia" w:hAnsiTheme="minorEastAsia"/>
          <w:sz w:val="30"/>
          <w:szCs w:val="30"/>
        </w:rPr>
      </w:pPr>
    </w:p>
    <w:p w:rsidR="00AF731C" w:rsidRDefault="00AF731C" w:rsidP="00B0577D">
      <w:pPr>
        <w:spacing w:line="480" w:lineRule="auto"/>
        <w:ind w:firstLineChars="200" w:firstLine="600"/>
        <w:jc w:val="center"/>
        <w:rPr>
          <w:rFonts w:asciiTheme="minorEastAsia" w:hAnsiTheme="minorEastAsia"/>
          <w:sz w:val="30"/>
          <w:szCs w:val="30"/>
        </w:rPr>
      </w:pPr>
    </w:p>
    <w:p w:rsidR="000A2141" w:rsidRPr="00AF731C" w:rsidRDefault="002F4817" w:rsidP="00AF731C">
      <w:pPr>
        <w:spacing w:line="480" w:lineRule="auto"/>
        <w:ind w:firstLineChars="200" w:firstLine="600"/>
        <w:jc w:val="center"/>
        <w:rPr>
          <w:rFonts w:asciiTheme="minorEastAsia" w:hAnsiTheme="minorEastAsia"/>
          <w:sz w:val="30"/>
          <w:szCs w:val="30"/>
        </w:rPr>
      </w:pPr>
      <w:r w:rsidRPr="00B0577D">
        <w:rPr>
          <w:rFonts w:asciiTheme="minorEastAsia" w:hAnsiTheme="minorEastAsia" w:hint="eastAsia"/>
          <w:sz w:val="30"/>
          <w:szCs w:val="30"/>
        </w:rPr>
        <w:t>图2：本月A股市场申万一级行业表现</w:t>
      </w:r>
    </w:p>
    <w:p w:rsidR="000A2141" w:rsidRDefault="00234A3E" w:rsidP="000234F9">
      <w:pPr>
        <w:spacing w:line="480" w:lineRule="auto"/>
        <w:ind w:firstLineChars="200" w:firstLine="480"/>
        <w:jc w:val="center"/>
        <w:rPr>
          <w:rFonts w:asciiTheme="minorEastAsia" w:hAnsiTheme="minorEastAsia"/>
          <w:sz w:val="30"/>
          <w:szCs w:val="30"/>
        </w:rPr>
      </w:pPr>
      <w:r>
        <w:rPr>
          <w:noProof/>
        </w:rPr>
        <w:lastRenderedPageBreak/>
        <w:drawing>
          <wp:inline distT="0" distB="0" distL="0" distR="0" wp14:anchorId="28809CBD" wp14:editId="366DBE95">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A2141" w:rsidRPr="00736DFE" w:rsidRDefault="000A2141" w:rsidP="003918FD">
      <w:pPr>
        <w:spacing w:line="480" w:lineRule="auto"/>
        <w:rPr>
          <w:rFonts w:asciiTheme="minorEastAsia" w:hAnsiTheme="minorEastAsia"/>
          <w:sz w:val="30"/>
          <w:szCs w:val="30"/>
        </w:rPr>
      </w:pPr>
    </w:p>
    <w:p w:rsidR="00AB557D" w:rsidRPr="00AB557D" w:rsidRDefault="002F4817" w:rsidP="0098698C">
      <w:pPr>
        <w:spacing w:line="480" w:lineRule="auto"/>
        <w:ind w:firstLineChars="200" w:firstLine="600"/>
        <w:rPr>
          <w:rFonts w:asciiTheme="minorEastAsia" w:hAnsiTheme="minorEastAsia"/>
          <w:color w:val="000000" w:themeColor="text1"/>
          <w:sz w:val="30"/>
          <w:szCs w:val="30"/>
          <w:shd w:val="clear" w:color="auto" w:fill="FFFFFF"/>
        </w:rPr>
      </w:pPr>
      <w:r w:rsidRPr="00B0577D">
        <w:rPr>
          <w:rFonts w:asciiTheme="minorEastAsia" w:hAnsiTheme="minorEastAsia" w:hint="eastAsia"/>
          <w:color w:val="000000" w:themeColor="text1"/>
          <w:sz w:val="30"/>
          <w:szCs w:val="30"/>
          <w:shd w:val="clear" w:color="auto" w:fill="FFFFFF"/>
        </w:rPr>
        <w:t>宏观经济</w:t>
      </w:r>
      <w:r w:rsidRPr="00B0577D">
        <w:rPr>
          <w:rFonts w:asciiTheme="minorEastAsia" w:hAnsiTheme="minorEastAsia"/>
          <w:color w:val="000000" w:themeColor="text1"/>
          <w:sz w:val="30"/>
          <w:szCs w:val="30"/>
          <w:shd w:val="clear" w:color="auto" w:fill="FFFFFF"/>
        </w:rPr>
        <w:t>方面</w:t>
      </w:r>
      <w:r w:rsidRPr="00B0577D">
        <w:rPr>
          <w:rFonts w:asciiTheme="minorEastAsia" w:hAnsiTheme="minorEastAsia" w:hint="eastAsia"/>
          <w:color w:val="000000" w:themeColor="text1"/>
          <w:sz w:val="30"/>
          <w:szCs w:val="30"/>
          <w:shd w:val="clear" w:color="auto" w:fill="FFFFFF"/>
        </w:rPr>
        <w:t>，</w:t>
      </w:r>
      <w:r w:rsidR="00AB557D" w:rsidRPr="00AB557D">
        <w:rPr>
          <w:rFonts w:asciiTheme="minorEastAsia" w:hAnsiTheme="minorEastAsia"/>
          <w:color w:val="000000" w:themeColor="text1"/>
          <w:sz w:val="30"/>
          <w:szCs w:val="30"/>
          <w:shd w:val="clear" w:color="auto" w:fill="FFFFFF"/>
        </w:rPr>
        <w:t>国家统计局8月27日发布的工业企业财务数据显示，2019年7月份，全国规模以上工业企业利润总额同比增长2.6%，6月份为下降3.1%。1—7月份累计利润同比下降1.7%，降幅比1—6月份收窄0.7个百分点。</w:t>
      </w:r>
      <w:r w:rsidR="00CC6E85" w:rsidRPr="00CC6E85">
        <w:rPr>
          <w:rFonts w:asciiTheme="minorEastAsia" w:hAnsiTheme="minorEastAsia"/>
          <w:color w:val="000000" w:themeColor="text1"/>
          <w:sz w:val="30"/>
          <w:szCs w:val="30"/>
          <w:shd w:val="clear" w:color="auto" w:fill="FFFFFF"/>
        </w:rPr>
        <w:t>尽管7月份工业企业利润增速由负转正，但经济下行压力较大，市场需求趋缓，工业品价格下降，工业企业利润的波动性和不确定性依然存在，促进企业利润稳定增长仍需努力。</w:t>
      </w:r>
    </w:p>
    <w:p w:rsidR="00213765" w:rsidRPr="009D2A00" w:rsidRDefault="000B545F" w:rsidP="00871AB4">
      <w:pPr>
        <w:shd w:val="clear" w:color="auto" w:fill="FFFFFF"/>
        <w:spacing w:before="225" w:after="225" w:line="480" w:lineRule="auto"/>
        <w:ind w:firstLineChars="200" w:firstLine="600"/>
        <w:rPr>
          <w:rFonts w:asciiTheme="minorEastAsia" w:hAnsiTheme="minorEastAsia"/>
          <w:color w:val="000000" w:themeColor="text1"/>
          <w:sz w:val="30"/>
          <w:szCs w:val="30"/>
          <w:shd w:val="clear" w:color="auto" w:fill="FFFFFF"/>
        </w:rPr>
      </w:pPr>
      <w:r w:rsidRPr="00B0577D">
        <w:rPr>
          <w:rFonts w:asciiTheme="minorEastAsia" w:hAnsiTheme="minorEastAsia" w:hint="eastAsia"/>
          <w:color w:val="000000" w:themeColor="text1"/>
          <w:sz w:val="30"/>
          <w:szCs w:val="30"/>
          <w:shd w:val="clear" w:color="auto" w:fill="FFFFFF"/>
        </w:rPr>
        <w:t>货币</w:t>
      </w:r>
      <w:r w:rsidRPr="00B0577D">
        <w:rPr>
          <w:rFonts w:asciiTheme="minorEastAsia" w:hAnsiTheme="minorEastAsia"/>
          <w:color w:val="000000" w:themeColor="text1"/>
          <w:sz w:val="30"/>
          <w:szCs w:val="30"/>
          <w:shd w:val="clear" w:color="auto" w:fill="FFFFFF"/>
        </w:rPr>
        <w:t>政策方面</w:t>
      </w:r>
      <w:r w:rsidRPr="00B0577D">
        <w:rPr>
          <w:rFonts w:asciiTheme="minorEastAsia" w:hAnsiTheme="minorEastAsia" w:hint="eastAsia"/>
          <w:color w:val="000000" w:themeColor="text1"/>
          <w:sz w:val="30"/>
          <w:szCs w:val="30"/>
          <w:shd w:val="clear" w:color="auto" w:fill="FFFFFF"/>
        </w:rPr>
        <w:t>,</w:t>
      </w:r>
      <w:r w:rsidRPr="00B0577D">
        <w:rPr>
          <w:rFonts w:asciiTheme="minorEastAsia" w:hAnsiTheme="minorEastAsia"/>
          <w:color w:val="000000" w:themeColor="text1"/>
          <w:sz w:val="30"/>
          <w:szCs w:val="30"/>
          <w:shd w:val="clear" w:color="auto" w:fill="FFFFFF"/>
        </w:rPr>
        <w:t xml:space="preserve"> </w:t>
      </w:r>
      <w:r w:rsidR="00520C11" w:rsidRPr="009D2A00">
        <w:rPr>
          <w:rFonts w:asciiTheme="minorEastAsia" w:hAnsiTheme="minorEastAsia"/>
          <w:color w:val="000000" w:themeColor="text1"/>
          <w:sz w:val="30"/>
          <w:szCs w:val="30"/>
          <w:shd w:val="clear" w:color="auto" w:fill="FFFFFF"/>
        </w:rPr>
        <w:t>央行发布2019年二季度货币政策执行报告，报告称，下一阶段，中国人民银行将注重以供给侧结构性改革的办法稳需求，在推动高质量发展中防范化解风险。稳健的货币政策要松紧适度，保持流动性合理充裕，适时适度实施逆周期调节，引导广义货币M2和社会融资规模增速与名义GDP增速相匹配。</w:t>
      </w:r>
      <w:r w:rsidR="00520C11" w:rsidRPr="009D2A00">
        <w:rPr>
          <w:rFonts w:asciiTheme="minorEastAsia" w:hAnsiTheme="minorEastAsia"/>
          <w:color w:val="000000" w:themeColor="text1"/>
          <w:sz w:val="30"/>
          <w:szCs w:val="30"/>
          <w:shd w:val="clear" w:color="auto" w:fill="FFFFFF"/>
        </w:rPr>
        <w:lastRenderedPageBreak/>
        <w:t>运用好定向降准、定向中期借贷便利、再贷款、再贴现等多种货币政策工具，创新和丰富货币政策工具组合。</w:t>
      </w:r>
    </w:p>
    <w:p w:rsidR="00D72740" w:rsidRDefault="000B545F" w:rsidP="004E6BE7">
      <w:pPr>
        <w:shd w:val="clear" w:color="auto" w:fill="FFFFFF"/>
        <w:spacing w:before="225" w:after="225" w:line="480" w:lineRule="auto"/>
        <w:ind w:firstLineChars="200" w:firstLine="600"/>
        <w:rPr>
          <w:rFonts w:asciiTheme="minorEastAsia" w:hAnsiTheme="minorEastAsia"/>
          <w:color w:val="000000" w:themeColor="text1"/>
          <w:sz w:val="30"/>
          <w:szCs w:val="30"/>
          <w:shd w:val="clear" w:color="auto" w:fill="FFFFFF"/>
        </w:rPr>
      </w:pPr>
      <w:r w:rsidRPr="00B0577D">
        <w:rPr>
          <w:rFonts w:asciiTheme="minorEastAsia" w:hAnsiTheme="minorEastAsia" w:hint="eastAsia"/>
          <w:color w:val="000000" w:themeColor="text1"/>
          <w:sz w:val="30"/>
          <w:szCs w:val="30"/>
          <w:shd w:val="clear" w:color="auto" w:fill="FFFFFF"/>
        </w:rPr>
        <w:t>消息面上，(</w:t>
      </w:r>
      <w:r w:rsidRPr="00B0577D">
        <w:rPr>
          <w:rFonts w:asciiTheme="minorEastAsia" w:hAnsiTheme="minorEastAsia"/>
          <w:color w:val="000000" w:themeColor="text1"/>
          <w:sz w:val="30"/>
          <w:szCs w:val="30"/>
          <w:shd w:val="clear" w:color="auto" w:fill="FFFFFF"/>
        </w:rPr>
        <w:t>1)</w:t>
      </w:r>
      <w:r w:rsidR="00915CDD" w:rsidRPr="00D72740">
        <w:rPr>
          <w:rFonts w:asciiTheme="minorEastAsia" w:hAnsiTheme="minorEastAsia"/>
          <w:color w:val="000000" w:themeColor="text1"/>
          <w:sz w:val="30"/>
          <w:szCs w:val="30"/>
          <w:shd w:val="clear" w:color="auto" w:fill="FFFFFF"/>
        </w:rPr>
        <w:t xml:space="preserve"> </w:t>
      </w:r>
      <w:r w:rsidR="004E6BE7" w:rsidRPr="004E6BE7">
        <w:rPr>
          <w:rFonts w:asciiTheme="minorEastAsia" w:hAnsiTheme="minorEastAsia"/>
          <w:color w:val="000000" w:themeColor="text1"/>
          <w:sz w:val="30"/>
          <w:szCs w:val="30"/>
          <w:shd w:val="clear" w:color="auto" w:fill="FFFFFF"/>
        </w:rPr>
        <w:t>经国务院批准，国务院关税税则委员会决定，对原产于美国的5078个税目、约750亿美元商品，加征10%、5%不等关税，分两批自2019年9月1日12时01分、12月15日12时01分起实施。自2019年12月15日12时01分起，对原产于美国的汽车及零部件恢复加征25%、5%关税。国务院关税税则委员会将继续开展对美加征关税商品排除工作。恢复加征关税的汽车及零部件商品，将纳入第三批可申请排除的范围，接受申请办法将另行公布。</w:t>
      </w:r>
      <w:r w:rsidR="004E6BE7">
        <w:rPr>
          <w:rFonts w:asciiTheme="minorEastAsia" w:hAnsiTheme="minorEastAsia" w:hint="eastAsia"/>
          <w:color w:val="000000" w:themeColor="text1"/>
          <w:sz w:val="30"/>
          <w:szCs w:val="30"/>
          <w:shd w:val="clear" w:color="auto" w:fill="FFFFFF"/>
        </w:rPr>
        <w:t>(</w:t>
      </w:r>
      <w:r w:rsidR="004E6BE7">
        <w:rPr>
          <w:rFonts w:asciiTheme="minorEastAsia" w:hAnsiTheme="minorEastAsia"/>
          <w:color w:val="000000" w:themeColor="text1"/>
          <w:sz w:val="30"/>
          <w:szCs w:val="30"/>
          <w:shd w:val="clear" w:color="auto" w:fill="FFFFFF"/>
        </w:rPr>
        <w:t>2</w:t>
      </w:r>
      <w:r w:rsidR="004E6BE7">
        <w:rPr>
          <w:rFonts w:asciiTheme="minorEastAsia" w:hAnsiTheme="minorEastAsia" w:hint="eastAsia"/>
          <w:color w:val="000000" w:themeColor="text1"/>
          <w:sz w:val="30"/>
          <w:szCs w:val="30"/>
          <w:shd w:val="clear" w:color="auto" w:fill="FFFFFF"/>
        </w:rPr>
        <w:t>)</w:t>
      </w:r>
      <w:r w:rsidR="00BD722D" w:rsidRPr="00BD722D">
        <w:rPr>
          <w:rFonts w:asciiTheme="minorEastAsia" w:hAnsiTheme="minorEastAsia"/>
          <w:color w:val="000000" w:themeColor="text1"/>
          <w:sz w:val="30"/>
          <w:szCs w:val="30"/>
          <w:shd w:val="clear" w:color="auto" w:fill="FFFFFF"/>
        </w:rPr>
        <w:t>国务院办公厅印发《关于加快发展流通促进商业消费的意见》，提出了20条稳定消费预期、提振消费信心的政策措施。包括：创新流通发展；培育消费热；深化“放管服”改革；强化财税金融支持；优化市场流通环境。意见指出，释放汽车消费潜力，实施汽车限购的地区要结合实际情况，探索推行逐步放宽或取消限购的具体措施。有条件的地方对购置新能源汽车给予积极支持。促进二手车流通，进一步落实全面取消二手车限迁政策，大气污染防治重点区域应允许符合在用车排放标准的二手车在本省（市）内交易流通。</w:t>
      </w:r>
    </w:p>
    <w:p w:rsidR="00F7471D" w:rsidRDefault="00F7471D" w:rsidP="00871AB4">
      <w:pPr>
        <w:shd w:val="clear" w:color="auto" w:fill="FFFFFF"/>
        <w:spacing w:before="225" w:after="225" w:line="480" w:lineRule="auto"/>
        <w:ind w:firstLineChars="200" w:firstLine="600"/>
        <w:rPr>
          <w:rFonts w:asciiTheme="minorEastAsia" w:hAnsiTheme="minorEastAsia"/>
          <w:color w:val="000000" w:themeColor="text1"/>
          <w:sz w:val="30"/>
          <w:szCs w:val="30"/>
          <w:shd w:val="clear" w:color="auto" w:fill="FFFFFF"/>
        </w:rPr>
      </w:pPr>
    </w:p>
    <w:p w:rsidR="007951E9" w:rsidRPr="00B0577D" w:rsidRDefault="00614210" w:rsidP="00B0577D">
      <w:pPr>
        <w:spacing w:line="480" w:lineRule="auto"/>
        <w:rPr>
          <w:rFonts w:asciiTheme="minorEastAsia" w:hAnsiTheme="minorEastAsia"/>
          <w:b/>
          <w:bCs/>
          <w:sz w:val="30"/>
          <w:szCs w:val="30"/>
        </w:rPr>
      </w:pPr>
      <w:r>
        <w:rPr>
          <w:rFonts w:asciiTheme="minorEastAsia" w:hAnsiTheme="minorEastAsia"/>
          <w:noProof/>
          <w:position w:val="-13"/>
          <w:sz w:val="30"/>
          <w:szCs w:val="30"/>
        </w:rPr>
      </w:r>
      <w:r>
        <w:rPr>
          <w:rFonts w:asciiTheme="minorEastAsia" w:hAnsiTheme="minorEastAsia"/>
          <w:noProof/>
          <w:position w:val="-13"/>
          <w:sz w:val="30"/>
          <w:szCs w:val="30"/>
        </w:rPr>
        <w:pict>
          <v:shape id="_x0000_s1026" type="#_x0000_t202" style="width:411pt;height:34.5pt;visibility:visible;mso-left-percent:-10001;mso-top-percent:-10001;mso-position-horizontal:absolute;mso-position-horizontal-relative:char;mso-position-vertical:absolute;mso-position-vertical-relative:line;mso-left-percent:-10001;mso-top-percent:-10001" fillcolor="#7e7e7e" stroked="f">
            <v:textbox inset="0,0,0,0">
              <w:txbxContent>
                <w:p w:rsidR="007951E9" w:rsidRPr="00C55D71" w:rsidRDefault="007951E9" w:rsidP="007951E9">
                  <w:pPr>
                    <w:spacing w:before="83"/>
                    <w:ind w:left="1"/>
                    <w:jc w:val="center"/>
                    <w:rPr>
                      <w:rFonts w:ascii="微软雅黑" w:eastAsia="微软雅黑" w:hAnsi="微软雅黑" w:cs="微软雅黑"/>
                      <w:b/>
                      <w:bCs/>
                      <w:i/>
                      <w:color w:val="FFFFFF"/>
                      <w:w w:val="96"/>
                      <w:sz w:val="36"/>
                      <w:szCs w:val="36"/>
                    </w:rPr>
                  </w:pPr>
                  <w:r>
                    <w:rPr>
                      <w:rFonts w:ascii="微软雅黑" w:eastAsia="微软雅黑" w:hAnsi="微软雅黑" w:cs="微软雅黑" w:hint="eastAsia"/>
                      <w:b/>
                      <w:bCs/>
                      <w:i/>
                      <w:color w:val="FFFFFF"/>
                      <w:w w:val="96"/>
                      <w:sz w:val="36"/>
                      <w:szCs w:val="36"/>
                    </w:rPr>
                    <w:t>下阶段</w:t>
                  </w:r>
                  <w:r>
                    <w:rPr>
                      <w:rFonts w:ascii="微软雅黑" w:eastAsia="微软雅黑" w:hAnsi="微软雅黑" w:cs="微软雅黑"/>
                      <w:b/>
                      <w:bCs/>
                      <w:i/>
                      <w:color w:val="FFFFFF"/>
                      <w:w w:val="96"/>
                      <w:sz w:val="36"/>
                      <w:szCs w:val="36"/>
                    </w:rPr>
                    <w:t>操作思路</w:t>
                  </w:r>
                </w:p>
              </w:txbxContent>
            </v:textbox>
            <w10:wrap type="none"/>
            <w10:anchorlock/>
          </v:shape>
        </w:pict>
      </w:r>
    </w:p>
    <w:p w:rsidR="00813165" w:rsidRPr="00813165" w:rsidRDefault="00813165" w:rsidP="00813165">
      <w:pPr>
        <w:pStyle w:val="af8"/>
        <w:shd w:val="clear" w:color="auto" w:fill="FFFFFF"/>
        <w:spacing w:line="480" w:lineRule="auto"/>
        <w:ind w:firstLine="480"/>
        <w:rPr>
          <w:rFonts w:asciiTheme="minorEastAsia" w:eastAsiaTheme="minorEastAsia" w:hAnsiTheme="minorEastAsia" w:cstheme="minorBidi" w:hint="eastAsia"/>
          <w:color w:val="000000" w:themeColor="text1"/>
          <w:sz w:val="30"/>
          <w:szCs w:val="30"/>
          <w:shd w:val="clear" w:color="auto" w:fill="FFFFFF"/>
        </w:rPr>
      </w:pPr>
      <w:r w:rsidRPr="00813165">
        <w:rPr>
          <w:rFonts w:asciiTheme="minorEastAsia" w:eastAsiaTheme="minorEastAsia" w:hAnsiTheme="minorEastAsia" w:cstheme="minorBidi" w:hint="eastAsia"/>
          <w:color w:val="000000" w:themeColor="text1"/>
          <w:sz w:val="30"/>
          <w:szCs w:val="30"/>
          <w:shd w:val="clear" w:color="auto" w:fill="FFFFFF"/>
        </w:rPr>
        <w:t>本月A股市场先抑后扬，月初受美国极限施压影响以及人民币兑美元汇率突破7.0整数关口的扰动，投资者避险情绪较浓，A股市场向下震荡探底；随后在管理层逆周期政策持续释放红利如证金公司下调转融资费率80基点、LPR机制完善调整、管理层扩围“两融标的”，以及美联储的如期降息，掀起全球多个国家相继宣布降息等利好消息的驱动下，A股市场整体风险偏好有所提升，整月以盘整为主。展望后市，在全球经济下行压力加大，中美贸易谈判反复以及当前我国经济数据不及预期的情况下，</w:t>
      </w:r>
      <w:r w:rsidRPr="00813165">
        <w:rPr>
          <w:rFonts w:asciiTheme="minorEastAsia" w:eastAsiaTheme="minorEastAsia" w:hAnsiTheme="minorEastAsia" w:cstheme="minorBidi" w:hint="eastAsia"/>
          <w:b/>
          <w:color w:val="000000" w:themeColor="text1"/>
          <w:sz w:val="30"/>
          <w:szCs w:val="30"/>
          <w:shd w:val="clear" w:color="auto" w:fill="FFFFFF"/>
        </w:rPr>
        <w:t>A股接下来大概率仍以震荡为主</w:t>
      </w:r>
      <w:r w:rsidRPr="00813165">
        <w:rPr>
          <w:rFonts w:asciiTheme="minorEastAsia" w:eastAsiaTheme="minorEastAsia" w:hAnsiTheme="minorEastAsia" w:cstheme="minorBidi" w:hint="eastAsia"/>
          <w:color w:val="000000" w:themeColor="text1"/>
          <w:sz w:val="30"/>
          <w:szCs w:val="30"/>
          <w:shd w:val="clear" w:color="auto" w:fill="FFFFFF"/>
        </w:rPr>
        <w:t>，上市公司之间的分化会进一步加大，优质公司的头部效应会越来越凸显，因而核心资产的投资价值也会进一步显现。</w:t>
      </w:r>
    </w:p>
    <w:p w:rsidR="00813165" w:rsidRPr="00813165" w:rsidRDefault="00813165" w:rsidP="00813165">
      <w:pPr>
        <w:pStyle w:val="af8"/>
        <w:shd w:val="clear" w:color="auto" w:fill="FFFFFF"/>
        <w:spacing w:line="480" w:lineRule="auto"/>
        <w:ind w:firstLine="480"/>
        <w:rPr>
          <w:rFonts w:asciiTheme="minorEastAsia" w:eastAsiaTheme="minorEastAsia" w:hAnsiTheme="minorEastAsia" w:cstheme="minorBidi" w:hint="eastAsia"/>
          <w:color w:val="000000" w:themeColor="text1"/>
          <w:sz w:val="30"/>
          <w:szCs w:val="30"/>
          <w:shd w:val="clear" w:color="auto" w:fill="FFFFFF"/>
        </w:rPr>
      </w:pPr>
      <w:r w:rsidRPr="00813165">
        <w:rPr>
          <w:rFonts w:asciiTheme="minorEastAsia" w:eastAsiaTheme="minorEastAsia" w:hAnsiTheme="minorEastAsia" w:cstheme="minorBidi" w:hint="eastAsia"/>
          <w:color w:val="000000" w:themeColor="text1"/>
          <w:sz w:val="30"/>
          <w:szCs w:val="30"/>
          <w:shd w:val="clear" w:color="auto" w:fill="FFFFFF"/>
        </w:rPr>
        <w:t>截止本月底，上市公司的中报已经陆续披露完毕，正如我们之前分析的一样，那些属于社会最核心的需求端的个股，尤其大消费以及医药行业中一些非常优秀的公司基于其刚性需求业绩持续稳步增长，有些公司增速甚至超出了市场预期，充分验证了我们在上月月报中提出的“核心需</w:t>
      </w:r>
      <w:bookmarkStart w:id="0" w:name="_GoBack"/>
      <w:bookmarkEnd w:id="0"/>
      <w:r w:rsidRPr="00813165">
        <w:rPr>
          <w:rFonts w:asciiTheme="minorEastAsia" w:eastAsiaTheme="minorEastAsia" w:hAnsiTheme="minorEastAsia" w:cstheme="minorBidi" w:hint="eastAsia"/>
          <w:color w:val="000000" w:themeColor="text1"/>
          <w:sz w:val="30"/>
          <w:szCs w:val="30"/>
          <w:shd w:val="clear" w:color="auto" w:fill="FFFFFF"/>
        </w:rPr>
        <w:t>求端资产的盈利能力即使在未来</w:t>
      </w:r>
      <w:r>
        <w:rPr>
          <w:rFonts w:asciiTheme="minorEastAsia" w:eastAsiaTheme="minorEastAsia" w:hAnsiTheme="minorEastAsia" w:cstheme="minorBidi" w:hint="eastAsia"/>
          <w:color w:val="000000" w:themeColor="text1"/>
          <w:sz w:val="30"/>
          <w:szCs w:val="30"/>
          <w:shd w:val="clear" w:color="auto" w:fill="FFFFFF"/>
        </w:rPr>
        <w:t>宏观压力下也不会下降，甚至还会基于其刚性需求而持续增长”的观点。</w:t>
      </w:r>
      <w:r w:rsidRPr="00813165">
        <w:rPr>
          <w:rFonts w:asciiTheme="minorEastAsia" w:eastAsiaTheme="minorEastAsia" w:hAnsiTheme="minorEastAsia" w:cstheme="minorBidi" w:hint="eastAsia"/>
          <w:color w:val="000000" w:themeColor="text1"/>
          <w:sz w:val="30"/>
          <w:szCs w:val="30"/>
          <w:shd w:val="clear" w:color="auto" w:fill="FFFFFF"/>
        </w:rPr>
        <w:t>另外，9月份国际三大指数将纷纷提升A股权重，将给A股市场带来300亿美元至400亿美元的增量资金。届时那些高</w:t>
      </w:r>
      <w:r w:rsidRPr="00813165">
        <w:rPr>
          <w:rFonts w:asciiTheme="minorEastAsia" w:eastAsiaTheme="minorEastAsia" w:hAnsiTheme="minorEastAsia" w:cstheme="minorBidi" w:hint="eastAsia"/>
          <w:color w:val="000000" w:themeColor="text1"/>
          <w:sz w:val="30"/>
          <w:szCs w:val="30"/>
          <w:shd w:val="clear" w:color="auto" w:fill="FFFFFF"/>
        </w:rPr>
        <w:lastRenderedPageBreak/>
        <w:t>盈利、估值合理的优质公司将持续被外资青睐，我们朴石投资一直坚持投资A股市场上最优秀公司。</w:t>
      </w:r>
    </w:p>
    <w:p w:rsidR="00A809F5" w:rsidRDefault="00813165" w:rsidP="00813165">
      <w:pPr>
        <w:pStyle w:val="af8"/>
        <w:shd w:val="clear" w:color="auto" w:fill="FFFFFF"/>
        <w:spacing w:before="0" w:beforeAutospacing="0" w:after="0" w:afterAutospacing="0" w:line="480" w:lineRule="auto"/>
        <w:ind w:firstLine="480"/>
        <w:rPr>
          <w:rFonts w:asciiTheme="minorEastAsia" w:eastAsiaTheme="minorEastAsia" w:hAnsiTheme="minorEastAsia" w:cstheme="minorBidi"/>
          <w:color w:val="000000" w:themeColor="text1"/>
          <w:sz w:val="30"/>
          <w:szCs w:val="30"/>
          <w:shd w:val="clear" w:color="auto" w:fill="FFFFFF"/>
        </w:rPr>
      </w:pPr>
      <w:r w:rsidRPr="00813165">
        <w:rPr>
          <w:rFonts w:asciiTheme="minorEastAsia" w:eastAsiaTheme="minorEastAsia" w:hAnsiTheme="minorEastAsia" w:cstheme="minorBidi" w:hint="eastAsia"/>
          <w:color w:val="000000" w:themeColor="text1"/>
          <w:sz w:val="30"/>
          <w:szCs w:val="30"/>
          <w:shd w:val="clear" w:color="auto" w:fill="FFFFFF"/>
        </w:rPr>
        <w:t>本月，我们长期看好的那些优秀公司的股价全部创出历史新高，拉长周期看，这些特别优秀公司长期的投资价值仍然很大。本月，我们公司产品净值稳步上升，绝大部分产品净值创出历史新高。朴石投资一直秉持做全市场“最纯粹的价值投资者”理念，公司产品长期创造了持续良好的业绩，</w:t>
      </w:r>
      <w:r w:rsidRPr="00813165">
        <w:rPr>
          <w:rFonts w:asciiTheme="minorEastAsia" w:eastAsiaTheme="minorEastAsia" w:hAnsiTheme="minorEastAsia" w:cstheme="minorBidi" w:hint="eastAsia"/>
          <w:b/>
          <w:color w:val="000000" w:themeColor="text1"/>
          <w:sz w:val="30"/>
          <w:szCs w:val="30"/>
          <w:shd w:val="clear" w:color="auto" w:fill="FFFFFF"/>
        </w:rPr>
        <w:t>连续获得了WIND咨询“最强私募奖”、中国基金报英华奖 “五年期产品最佳基金管理人”等诸多奖项</w:t>
      </w:r>
      <w:r w:rsidRPr="00813165">
        <w:rPr>
          <w:rFonts w:asciiTheme="minorEastAsia" w:eastAsiaTheme="minorEastAsia" w:hAnsiTheme="minorEastAsia" w:cstheme="minorBidi" w:hint="eastAsia"/>
          <w:color w:val="000000" w:themeColor="text1"/>
          <w:sz w:val="30"/>
          <w:szCs w:val="30"/>
          <w:shd w:val="clear" w:color="auto" w:fill="FFFFFF"/>
        </w:rPr>
        <w:t>。朴石投资取得的成绩离不开各位投资人的长期坚定支持。未来，我们将继续聚焦A股优质核心资产，精选优质龙头企业长期投资，在防范与控制风险的同时，力求产品净值的稳健上升。请投资者一如既往放心地将资产交给我们，长期我们一定会给广大投资者带来稳健优良的投资回报！</w:t>
      </w:r>
    </w:p>
    <w:p w:rsidR="003E0EBE" w:rsidRDefault="003E0EBE" w:rsidP="00B0577D">
      <w:pPr>
        <w:spacing w:line="480" w:lineRule="auto"/>
        <w:ind w:firstLineChars="200" w:firstLine="422"/>
        <w:rPr>
          <w:rFonts w:ascii="MS Mincho" w:hAnsi="MS Mincho" w:cs="MS Mincho"/>
          <w:b/>
          <w:sz w:val="21"/>
          <w:szCs w:val="21"/>
        </w:rPr>
      </w:pPr>
    </w:p>
    <w:p w:rsidR="000B545F" w:rsidRPr="00B0577D" w:rsidRDefault="000B545F" w:rsidP="00B0577D">
      <w:pPr>
        <w:spacing w:line="480" w:lineRule="auto"/>
        <w:ind w:firstLineChars="200" w:firstLine="422"/>
        <w:rPr>
          <w:rFonts w:asciiTheme="minorEastAsia" w:hAnsiTheme="minorEastAsia"/>
          <w:b/>
          <w:sz w:val="21"/>
          <w:szCs w:val="21"/>
        </w:rPr>
      </w:pPr>
      <w:r w:rsidRPr="00B0577D">
        <w:rPr>
          <w:rFonts w:ascii="MS Mincho" w:eastAsia="MS Mincho" w:hAnsi="MS Mincho" w:cs="MS Mincho" w:hint="eastAsia"/>
          <w:b/>
          <w:sz w:val="21"/>
          <w:szCs w:val="21"/>
        </w:rPr>
        <w:t>➢</w:t>
      </w:r>
      <w:r w:rsidRPr="00B0577D">
        <w:rPr>
          <w:rFonts w:asciiTheme="minorEastAsia" w:hAnsiTheme="minorEastAsia"/>
          <w:b/>
          <w:sz w:val="21"/>
          <w:szCs w:val="21"/>
        </w:rPr>
        <w:tab/>
        <w:t>风险提示及免责声明：</w:t>
      </w:r>
    </w:p>
    <w:p w:rsidR="00B92AA0" w:rsidRPr="002240B1" w:rsidRDefault="000B545F" w:rsidP="002240B1">
      <w:pPr>
        <w:spacing w:line="480" w:lineRule="auto"/>
        <w:ind w:firstLineChars="200" w:firstLine="422"/>
        <w:rPr>
          <w:rFonts w:asciiTheme="minorEastAsia" w:hAnsiTheme="minorEastAsia"/>
          <w:b/>
          <w:sz w:val="21"/>
          <w:szCs w:val="21"/>
        </w:rPr>
      </w:pPr>
      <w:r w:rsidRPr="00B0577D">
        <w:rPr>
          <w:rFonts w:asciiTheme="minorEastAsia" w:hAnsiTheme="minorEastAsia"/>
          <w:b/>
          <w:sz w:val="21"/>
          <w:szCs w:val="21"/>
        </w:rPr>
        <w:t>本报告由上海朴石投资管理合伙企业</w:t>
      </w:r>
      <w:r w:rsidRPr="00B0577D">
        <w:rPr>
          <w:rFonts w:asciiTheme="minorEastAsia" w:hAnsiTheme="minorEastAsia" w:hint="eastAsia"/>
          <w:b/>
          <w:sz w:val="21"/>
          <w:szCs w:val="21"/>
        </w:rPr>
        <w:t>（有限</w:t>
      </w:r>
      <w:r w:rsidRPr="00B0577D">
        <w:rPr>
          <w:rFonts w:asciiTheme="minorEastAsia" w:hAnsiTheme="minorEastAsia"/>
          <w:b/>
          <w:sz w:val="21"/>
          <w:szCs w:val="21"/>
        </w:rPr>
        <w:t>合伙</w:t>
      </w:r>
      <w:r w:rsidRPr="00B0577D">
        <w:rPr>
          <w:rFonts w:asciiTheme="minorEastAsia" w:hAnsiTheme="minorEastAsia" w:hint="eastAsia"/>
          <w:b/>
          <w:sz w:val="21"/>
          <w:szCs w:val="21"/>
        </w:rPr>
        <w:t>）</w:t>
      </w:r>
      <w:r w:rsidRPr="00B0577D">
        <w:rPr>
          <w:rFonts w:asciiTheme="minorEastAsia" w:hAnsiTheme="minorEastAsia"/>
          <w:b/>
          <w:sz w:val="21"/>
          <w:szCs w:val="21"/>
        </w:rPr>
        <w:t>编写，</w:t>
      </w:r>
      <w:r w:rsidRPr="00B0577D">
        <w:rPr>
          <w:rFonts w:asciiTheme="minorEastAsia" w:hAnsiTheme="minorEastAsia" w:hint="eastAsia"/>
          <w:b/>
          <w:sz w:val="21"/>
          <w:szCs w:val="21"/>
        </w:rPr>
        <w:t>以下</w:t>
      </w:r>
      <w:r w:rsidRPr="00B0577D">
        <w:rPr>
          <w:rFonts w:asciiTheme="minorEastAsia" w:hAnsiTheme="minorEastAsia"/>
          <w:b/>
          <w:sz w:val="21"/>
          <w:szCs w:val="21"/>
        </w:rPr>
        <w:t>简称 “</w:t>
      </w:r>
      <w:r w:rsidRPr="00B0577D">
        <w:rPr>
          <w:rFonts w:asciiTheme="minorEastAsia" w:hAnsiTheme="minorEastAsia" w:hint="eastAsia"/>
          <w:b/>
          <w:sz w:val="21"/>
          <w:szCs w:val="21"/>
        </w:rPr>
        <w:t>本</w:t>
      </w:r>
      <w:r w:rsidRPr="00B0577D">
        <w:rPr>
          <w:rFonts w:asciiTheme="minorEastAsia" w:hAnsiTheme="minorEastAsia"/>
          <w:b/>
          <w:sz w:val="21"/>
          <w:szCs w:val="21"/>
        </w:rPr>
        <w:t>公司”</w:t>
      </w:r>
      <w:r w:rsidRPr="00B0577D">
        <w:rPr>
          <w:rFonts w:asciiTheme="minorEastAsia" w:hAnsiTheme="minorEastAsia" w:hint="eastAsia"/>
          <w:b/>
          <w:sz w:val="21"/>
          <w:szCs w:val="21"/>
        </w:rPr>
        <w:t>。</w:t>
      </w:r>
      <w:r w:rsidRPr="00B0577D">
        <w:rPr>
          <w:rFonts w:asciiTheme="minorEastAsia" w:hAnsiTheme="minorEastAsia"/>
          <w:b/>
          <w:sz w:val="21"/>
          <w:szCs w:val="21"/>
        </w:rPr>
        <w:t>未经</w:t>
      </w:r>
      <w:r w:rsidRPr="00B0577D">
        <w:rPr>
          <w:rFonts w:asciiTheme="minorEastAsia" w:hAnsiTheme="minorEastAsia" w:hint="eastAsia"/>
          <w:b/>
          <w:sz w:val="21"/>
          <w:szCs w:val="21"/>
        </w:rPr>
        <w:t>本公司</w:t>
      </w:r>
      <w:r w:rsidRPr="00B0577D">
        <w:rPr>
          <w:rFonts w:asciiTheme="minorEastAsia" w:hAnsiTheme="minorEastAsia"/>
          <w:b/>
          <w:sz w:val="21"/>
          <w:szCs w:val="21"/>
        </w:rPr>
        <w:t>授权，任何机构和个人不得以任何形式翻版、复印和发布。本报告的信息均来源于公开资料，</w:t>
      </w:r>
      <w:r w:rsidRPr="00B0577D">
        <w:rPr>
          <w:rFonts w:asciiTheme="minorEastAsia" w:hAnsiTheme="minorEastAsia" w:hint="eastAsia"/>
          <w:b/>
          <w:sz w:val="21"/>
          <w:szCs w:val="21"/>
        </w:rPr>
        <w:t>本</w:t>
      </w:r>
      <w:r w:rsidRPr="00B0577D">
        <w:rPr>
          <w:rFonts w:asciiTheme="minorEastAsia" w:hAnsiTheme="minorEastAsia"/>
          <w:b/>
          <w:sz w:val="21"/>
          <w:szCs w:val="21"/>
        </w:rPr>
        <w:t>公司对这些信息的准确性及完整性不作任何保证。因使用本报告或其内容而导致的任何直接或间接损失，</w:t>
      </w:r>
      <w:r w:rsidRPr="00B0577D">
        <w:rPr>
          <w:rFonts w:asciiTheme="minorEastAsia" w:hAnsiTheme="minorEastAsia" w:hint="eastAsia"/>
          <w:b/>
          <w:sz w:val="21"/>
          <w:szCs w:val="21"/>
        </w:rPr>
        <w:t>本</w:t>
      </w:r>
      <w:r w:rsidRPr="00B0577D">
        <w:rPr>
          <w:rFonts w:asciiTheme="minorEastAsia" w:hAnsiTheme="minorEastAsia"/>
          <w:b/>
          <w:sz w:val="21"/>
          <w:szCs w:val="21"/>
        </w:rPr>
        <w:t>公司不承担任何责任。</w:t>
      </w:r>
    </w:p>
    <w:sectPr w:rsidR="00B92AA0" w:rsidRPr="002240B1" w:rsidSect="007B0EEF">
      <w:headerReference w:type="default" r:id="rId7"/>
      <w:footerReference w:type="default" r:id="rId8"/>
      <w:pgSz w:w="11906" w:h="16838"/>
      <w:pgMar w:top="1440" w:right="1800" w:bottom="1440" w:left="1800" w:header="850"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210" w:rsidRDefault="00614210" w:rsidP="008F1B65">
      <w:r>
        <w:separator/>
      </w:r>
    </w:p>
  </w:endnote>
  <w:endnote w:type="continuationSeparator" w:id="0">
    <w:p w:rsidR="00614210" w:rsidRDefault="00614210" w:rsidP="008F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817" w:rsidRDefault="00614210" w:rsidP="002F4817">
    <w:pPr>
      <w:spacing w:line="14" w:lineRule="auto"/>
      <w:rPr>
        <w:sz w:val="20"/>
        <w:szCs w:val="20"/>
      </w:rPr>
    </w:pPr>
    <w:r>
      <w:rPr>
        <w:noProof/>
      </w:rPr>
      <w:pict>
        <v:shapetype id="_x0000_t202" coordsize="21600,21600" o:spt="202" path="m,l,21600r21600,l21600,xe">
          <v:stroke joinstyle="miter"/>
          <v:path gradientshapeok="t" o:connecttype="rect"/>
        </v:shapetype>
        <v:shape id="文本框 1" o:spid="_x0000_s2049" type="#_x0000_t202" style="position:absolute;margin-left:92pt;margin-top:799.75pt;width:119pt;height:1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" filled="f" stroked="f">
          <v:textbox inset="0,0,0,0">
            <w:txbxContent>
              <w:p w:rsidR="002F4817" w:rsidRDefault="002F4817" w:rsidP="002F4817">
                <w:pPr>
                  <w:spacing w:line="209" w:lineRule="exact"/>
                  <w:ind w:left="2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敬请阅读报告结尾处免责声明</w:t>
                </w:r>
              </w:p>
            </w:txbxContent>
          </v:textbox>
          <w10:wrap anchorx="page" anchory="page"/>
        </v:shape>
      </w:pict>
    </w:r>
  </w:p>
  <w:p w:rsidR="009A69FA" w:rsidRDefault="009A69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210" w:rsidRDefault="00614210" w:rsidP="008F1B65">
      <w:r>
        <w:separator/>
      </w:r>
    </w:p>
  </w:footnote>
  <w:footnote w:type="continuationSeparator" w:id="0">
    <w:p w:rsidR="00614210" w:rsidRDefault="00614210" w:rsidP="008F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B65" w:rsidRPr="00DC75CD" w:rsidRDefault="007B0EEF" w:rsidP="007B0EEF">
    <w:pPr>
      <w:pStyle w:val="a3"/>
      <w:pBdr>
        <w:bottom w:val="single" w:sz="6" w:space="18" w:color="auto"/>
      </w:pBdr>
      <w:ind w:firstLineChars="100" w:firstLine="280"/>
      <w:jc w:val="left"/>
      <w:rPr>
        <w:rFonts w:asciiTheme="minorEastAsia" w:hAnsiTheme="minorEastAsia"/>
        <w:sz w:val="28"/>
        <w:szCs w:val="28"/>
      </w:rPr>
    </w:pPr>
    <w:r w:rsidRPr="00DC75CD">
      <w:rPr>
        <w:rFonts w:asciiTheme="minorEastAsia" w:hAnsiTheme="minorEastAsia"/>
        <w:noProof/>
        <w:sz w:val="28"/>
        <w:szCs w:val="28"/>
      </w:rPr>
      <w:drawing>
        <wp:anchor distT="0" distB="0" distL="114300" distR="114300" simplePos="0" relativeHeight="251657216" behindDoc="0" locked="0" layoutInCell="1" allowOverlap="1">
          <wp:simplePos x="0" y="0"/>
          <wp:positionH relativeFrom="column">
            <wp:posOffset>4133850</wp:posOffset>
          </wp:positionH>
          <wp:positionV relativeFrom="paragraph">
            <wp:posOffset>-47625</wp:posOffset>
          </wp:positionV>
          <wp:extent cx="1016000" cy="40830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6000" cy="408305"/>
                  </a:xfrm>
                  <a:prstGeom prst="rect">
                    <a:avLst/>
                  </a:prstGeom>
                </pic:spPr>
              </pic:pic>
            </a:graphicData>
          </a:graphic>
        </wp:anchor>
      </w:drawing>
    </w:r>
    <w:r w:rsidRPr="00DC75CD">
      <w:rPr>
        <w:rFonts w:asciiTheme="minorEastAsia" w:hAnsiTheme="minorEastAsia" w:hint="eastAsia"/>
        <w:sz w:val="28"/>
        <w:szCs w:val="28"/>
      </w:rPr>
      <w:t>投资</w:t>
    </w:r>
    <w:r w:rsidRPr="00DC75CD">
      <w:rPr>
        <w:rFonts w:asciiTheme="minorEastAsia" w:hAnsiTheme="minorEastAsia"/>
        <w:sz w:val="28"/>
        <w:szCs w:val="28"/>
      </w:rPr>
      <w:t>策略月度报告（</w:t>
    </w:r>
    <w:r w:rsidRPr="00DC75CD">
      <w:rPr>
        <w:rFonts w:asciiTheme="minorEastAsia" w:hAnsiTheme="minorEastAsia" w:hint="eastAsia"/>
        <w:sz w:val="28"/>
        <w:szCs w:val="28"/>
      </w:rPr>
      <w:t>2019年</w:t>
    </w:r>
    <w:r w:rsidR="007D1930">
      <w:rPr>
        <w:rFonts w:asciiTheme="minorEastAsia" w:hAnsiTheme="minorEastAsia"/>
        <w:sz w:val="28"/>
        <w:szCs w:val="28"/>
      </w:rPr>
      <w:t>8</w:t>
    </w:r>
    <w:r w:rsidR="00914C01">
      <w:rPr>
        <w:rFonts w:asciiTheme="minorEastAsia" w:hAnsiTheme="minorEastAsia" w:hint="eastAsia"/>
        <w:sz w:val="28"/>
        <w:szCs w:val="28"/>
      </w:rPr>
      <w:t>月3</w:t>
    </w:r>
    <w:r w:rsidR="007D1930">
      <w:rPr>
        <w:rFonts w:asciiTheme="minorEastAsia" w:hAnsiTheme="minorEastAsia"/>
        <w:sz w:val="28"/>
        <w:szCs w:val="28"/>
      </w:rPr>
      <w:t>0</w:t>
    </w:r>
    <w:r w:rsidR="00914C01">
      <w:rPr>
        <w:rFonts w:asciiTheme="minorEastAsia" w:hAnsiTheme="minorEastAsia" w:hint="eastAsia"/>
        <w:sz w:val="28"/>
        <w:szCs w:val="28"/>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3E87"/>
    <w:rsid w:val="00004C58"/>
    <w:rsid w:val="00014BEE"/>
    <w:rsid w:val="000234F9"/>
    <w:rsid w:val="0004205A"/>
    <w:rsid w:val="00043201"/>
    <w:rsid w:val="00057A26"/>
    <w:rsid w:val="00071F09"/>
    <w:rsid w:val="0007573B"/>
    <w:rsid w:val="000849C8"/>
    <w:rsid w:val="0008615F"/>
    <w:rsid w:val="000A2141"/>
    <w:rsid w:val="000B545F"/>
    <w:rsid w:val="000B6FB9"/>
    <w:rsid w:val="000B7ABD"/>
    <w:rsid w:val="000C54A9"/>
    <w:rsid w:val="000D4D99"/>
    <w:rsid w:val="000D591B"/>
    <w:rsid w:val="000E125B"/>
    <w:rsid w:val="000E36B0"/>
    <w:rsid w:val="000F7EF7"/>
    <w:rsid w:val="00106DFE"/>
    <w:rsid w:val="0011186B"/>
    <w:rsid w:val="00115A01"/>
    <w:rsid w:val="001164E3"/>
    <w:rsid w:val="0012311F"/>
    <w:rsid w:val="00123BE8"/>
    <w:rsid w:val="00125393"/>
    <w:rsid w:val="00161A55"/>
    <w:rsid w:val="00175860"/>
    <w:rsid w:val="00191D90"/>
    <w:rsid w:val="00191E3A"/>
    <w:rsid w:val="001B501E"/>
    <w:rsid w:val="001B5F7D"/>
    <w:rsid w:val="001C2E5A"/>
    <w:rsid w:val="001C77A4"/>
    <w:rsid w:val="001E7AA3"/>
    <w:rsid w:val="001F4597"/>
    <w:rsid w:val="001F6F25"/>
    <w:rsid w:val="00205D16"/>
    <w:rsid w:val="00210FBA"/>
    <w:rsid w:val="00213765"/>
    <w:rsid w:val="0022132E"/>
    <w:rsid w:val="002240B1"/>
    <w:rsid w:val="00234A3E"/>
    <w:rsid w:val="00270615"/>
    <w:rsid w:val="00291502"/>
    <w:rsid w:val="002969E1"/>
    <w:rsid w:val="002B708D"/>
    <w:rsid w:val="002C45FD"/>
    <w:rsid w:val="002C799A"/>
    <w:rsid w:val="002D1D8F"/>
    <w:rsid w:val="002F044B"/>
    <w:rsid w:val="002F4817"/>
    <w:rsid w:val="00301018"/>
    <w:rsid w:val="003029B7"/>
    <w:rsid w:val="00303B52"/>
    <w:rsid w:val="003079A3"/>
    <w:rsid w:val="0032570A"/>
    <w:rsid w:val="0033128F"/>
    <w:rsid w:val="0037268E"/>
    <w:rsid w:val="003764AA"/>
    <w:rsid w:val="00381819"/>
    <w:rsid w:val="003918FD"/>
    <w:rsid w:val="00395107"/>
    <w:rsid w:val="003A08A8"/>
    <w:rsid w:val="003B5B1E"/>
    <w:rsid w:val="003C24DD"/>
    <w:rsid w:val="003C53F1"/>
    <w:rsid w:val="003D33AF"/>
    <w:rsid w:val="003D4A5F"/>
    <w:rsid w:val="003D4E4D"/>
    <w:rsid w:val="003D73B6"/>
    <w:rsid w:val="003E0EBE"/>
    <w:rsid w:val="003E6118"/>
    <w:rsid w:val="003F7D0D"/>
    <w:rsid w:val="004232B3"/>
    <w:rsid w:val="00427904"/>
    <w:rsid w:val="00436D44"/>
    <w:rsid w:val="00443A14"/>
    <w:rsid w:val="0046027C"/>
    <w:rsid w:val="004615A6"/>
    <w:rsid w:val="00463E7E"/>
    <w:rsid w:val="00481BA8"/>
    <w:rsid w:val="004931BC"/>
    <w:rsid w:val="004A628B"/>
    <w:rsid w:val="004A631B"/>
    <w:rsid w:val="004B1CEF"/>
    <w:rsid w:val="004B2FB5"/>
    <w:rsid w:val="004B7FAF"/>
    <w:rsid w:val="004C61DF"/>
    <w:rsid w:val="004D551C"/>
    <w:rsid w:val="004E6BE7"/>
    <w:rsid w:val="004F382F"/>
    <w:rsid w:val="004F4127"/>
    <w:rsid w:val="00520C11"/>
    <w:rsid w:val="00532982"/>
    <w:rsid w:val="005440C8"/>
    <w:rsid w:val="00553D86"/>
    <w:rsid w:val="00580C1B"/>
    <w:rsid w:val="00587CCA"/>
    <w:rsid w:val="0059650F"/>
    <w:rsid w:val="005B007A"/>
    <w:rsid w:val="005B2888"/>
    <w:rsid w:val="005B6FEC"/>
    <w:rsid w:val="005C13EC"/>
    <w:rsid w:val="005D73F2"/>
    <w:rsid w:val="00602D3E"/>
    <w:rsid w:val="00602F9B"/>
    <w:rsid w:val="00610404"/>
    <w:rsid w:val="00614210"/>
    <w:rsid w:val="00625C4F"/>
    <w:rsid w:val="006409E0"/>
    <w:rsid w:val="00652131"/>
    <w:rsid w:val="00654AB8"/>
    <w:rsid w:val="0065759B"/>
    <w:rsid w:val="00662B5B"/>
    <w:rsid w:val="00666864"/>
    <w:rsid w:val="006726CC"/>
    <w:rsid w:val="00674A05"/>
    <w:rsid w:val="006757AC"/>
    <w:rsid w:val="00694281"/>
    <w:rsid w:val="006949AF"/>
    <w:rsid w:val="006A11A3"/>
    <w:rsid w:val="006A4D49"/>
    <w:rsid w:val="006B2627"/>
    <w:rsid w:val="006B5DEB"/>
    <w:rsid w:val="006E4E7F"/>
    <w:rsid w:val="006F3EA9"/>
    <w:rsid w:val="007001A4"/>
    <w:rsid w:val="007015BB"/>
    <w:rsid w:val="007113CC"/>
    <w:rsid w:val="00711D4F"/>
    <w:rsid w:val="007137C5"/>
    <w:rsid w:val="00713BE5"/>
    <w:rsid w:val="0071452F"/>
    <w:rsid w:val="00715DBA"/>
    <w:rsid w:val="00736DFE"/>
    <w:rsid w:val="007454BB"/>
    <w:rsid w:val="007460B9"/>
    <w:rsid w:val="007563F5"/>
    <w:rsid w:val="00757444"/>
    <w:rsid w:val="00764206"/>
    <w:rsid w:val="007659F4"/>
    <w:rsid w:val="00772584"/>
    <w:rsid w:val="007824B7"/>
    <w:rsid w:val="00782B09"/>
    <w:rsid w:val="00786FB4"/>
    <w:rsid w:val="007951E9"/>
    <w:rsid w:val="007B0EEF"/>
    <w:rsid w:val="007C0CA9"/>
    <w:rsid w:val="007C58EC"/>
    <w:rsid w:val="007C6577"/>
    <w:rsid w:val="007D1930"/>
    <w:rsid w:val="007D6340"/>
    <w:rsid w:val="007D74F3"/>
    <w:rsid w:val="007D7B25"/>
    <w:rsid w:val="00811DFA"/>
    <w:rsid w:val="00813165"/>
    <w:rsid w:val="00820785"/>
    <w:rsid w:val="00823E87"/>
    <w:rsid w:val="00840E2E"/>
    <w:rsid w:val="00871AB4"/>
    <w:rsid w:val="00871CD0"/>
    <w:rsid w:val="0087581E"/>
    <w:rsid w:val="008808F5"/>
    <w:rsid w:val="00885795"/>
    <w:rsid w:val="0089093E"/>
    <w:rsid w:val="00891B5F"/>
    <w:rsid w:val="00895C33"/>
    <w:rsid w:val="008A5058"/>
    <w:rsid w:val="008B34CB"/>
    <w:rsid w:val="008B517A"/>
    <w:rsid w:val="008C44AF"/>
    <w:rsid w:val="008E69D7"/>
    <w:rsid w:val="008F1B65"/>
    <w:rsid w:val="00900865"/>
    <w:rsid w:val="0090279A"/>
    <w:rsid w:val="0090446E"/>
    <w:rsid w:val="0091330E"/>
    <w:rsid w:val="00914C01"/>
    <w:rsid w:val="00915CDD"/>
    <w:rsid w:val="00917841"/>
    <w:rsid w:val="009230B8"/>
    <w:rsid w:val="009260B1"/>
    <w:rsid w:val="009649BE"/>
    <w:rsid w:val="0098241D"/>
    <w:rsid w:val="0098698C"/>
    <w:rsid w:val="009A3027"/>
    <w:rsid w:val="009A3A3E"/>
    <w:rsid w:val="009A69FA"/>
    <w:rsid w:val="009B6274"/>
    <w:rsid w:val="009D2A00"/>
    <w:rsid w:val="009D2A55"/>
    <w:rsid w:val="009F3BA1"/>
    <w:rsid w:val="00A04ED0"/>
    <w:rsid w:val="00A11383"/>
    <w:rsid w:val="00A24B71"/>
    <w:rsid w:val="00A313E8"/>
    <w:rsid w:val="00A3510F"/>
    <w:rsid w:val="00A5092E"/>
    <w:rsid w:val="00A57CF0"/>
    <w:rsid w:val="00A72390"/>
    <w:rsid w:val="00A809F5"/>
    <w:rsid w:val="00A906E1"/>
    <w:rsid w:val="00AA2B4E"/>
    <w:rsid w:val="00AA326F"/>
    <w:rsid w:val="00AB557D"/>
    <w:rsid w:val="00AC1CC5"/>
    <w:rsid w:val="00AC330C"/>
    <w:rsid w:val="00AD68DA"/>
    <w:rsid w:val="00AF1D01"/>
    <w:rsid w:val="00AF731C"/>
    <w:rsid w:val="00B00BC3"/>
    <w:rsid w:val="00B0577D"/>
    <w:rsid w:val="00B11D1E"/>
    <w:rsid w:val="00B21298"/>
    <w:rsid w:val="00B264AD"/>
    <w:rsid w:val="00B329AF"/>
    <w:rsid w:val="00B33D9C"/>
    <w:rsid w:val="00B50A64"/>
    <w:rsid w:val="00B539DB"/>
    <w:rsid w:val="00B64537"/>
    <w:rsid w:val="00B80705"/>
    <w:rsid w:val="00B832EE"/>
    <w:rsid w:val="00B85F75"/>
    <w:rsid w:val="00B92AA0"/>
    <w:rsid w:val="00BA3791"/>
    <w:rsid w:val="00BA4DB0"/>
    <w:rsid w:val="00BD53E3"/>
    <w:rsid w:val="00BD722D"/>
    <w:rsid w:val="00BE0BBA"/>
    <w:rsid w:val="00BF1241"/>
    <w:rsid w:val="00C01B7F"/>
    <w:rsid w:val="00C15395"/>
    <w:rsid w:val="00C4630D"/>
    <w:rsid w:val="00C54D0D"/>
    <w:rsid w:val="00C65F69"/>
    <w:rsid w:val="00C852BF"/>
    <w:rsid w:val="00C92FEB"/>
    <w:rsid w:val="00CA29F3"/>
    <w:rsid w:val="00CA4C85"/>
    <w:rsid w:val="00CB0D57"/>
    <w:rsid w:val="00CB3E61"/>
    <w:rsid w:val="00CB44A6"/>
    <w:rsid w:val="00CB699A"/>
    <w:rsid w:val="00CC2038"/>
    <w:rsid w:val="00CC49AC"/>
    <w:rsid w:val="00CC6E85"/>
    <w:rsid w:val="00CD58CE"/>
    <w:rsid w:val="00CE0555"/>
    <w:rsid w:val="00CF1803"/>
    <w:rsid w:val="00D0269F"/>
    <w:rsid w:val="00D03486"/>
    <w:rsid w:val="00D04C14"/>
    <w:rsid w:val="00D36BC4"/>
    <w:rsid w:val="00D50480"/>
    <w:rsid w:val="00D55D21"/>
    <w:rsid w:val="00D63F55"/>
    <w:rsid w:val="00D6486B"/>
    <w:rsid w:val="00D64E22"/>
    <w:rsid w:val="00D67601"/>
    <w:rsid w:val="00D72740"/>
    <w:rsid w:val="00D75529"/>
    <w:rsid w:val="00D931D2"/>
    <w:rsid w:val="00D95AC9"/>
    <w:rsid w:val="00D961D8"/>
    <w:rsid w:val="00DA5911"/>
    <w:rsid w:val="00DB27C4"/>
    <w:rsid w:val="00DC05AF"/>
    <w:rsid w:val="00DC75CD"/>
    <w:rsid w:val="00DE7ED2"/>
    <w:rsid w:val="00E01610"/>
    <w:rsid w:val="00E510ED"/>
    <w:rsid w:val="00E616C4"/>
    <w:rsid w:val="00E648AF"/>
    <w:rsid w:val="00E71C77"/>
    <w:rsid w:val="00E74E2B"/>
    <w:rsid w:val="00E849D8"/>
    <w:rsid w:val="00EA504E"/>
    <w:rsid w:val="00EB79E4"/>
    <w:rsid w:val="00EC0915"/>
    <w:rsid w:val="00EC27F9"/>
    <w:rsid w:val="00EC3348"/>
    <w:rsid w:val="00EE7573"/>
    <w:rsid w:val="00EF406C"/>
    <w:rsid w:val="00F10C23"/>
    <w:rsid w:val="00F14670"/>
    <w:rsid w:val="00F31177"/>
    <w:rsid w:val="00F45AA3"/>
    <w:rsid w:val="00F7471D"/>
    <w:rsid w:val="00F768F8"/>
    <w:rsid w:val="00F76B94"/>
    <w:rsid w:val="00F82B4B"/>
    <w:rsid w:val="00F90CCE"/>
    <w:rsid w:val="00F9219B"/>
    <w:rsid w:val="00FB090B"/>
    <w:rsid w:val="00FB36F0"/>
    <w:rsid w:val="00FD0C14"/>
    <w:rsid w:val="00FE6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767219"/>
  <w15:docId w15:val="{F4F47F42-1B2F-481A-8C22-0F615973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9FA"/>
    <w:rPr>
      <w:sz w:val="24"/>
      <w:szCs w:val="24"/>
    </w:rPr>
  </w:style>
  <w:style w:type="paragraph" w:styleId="1">
    <w:name w:val="heading 1"/>
    <w:basedOn w:val="a"/>
    <w:next w:val="a"/>
    <w:link w:val="10"/>
    <w:uiPriority w:val="9"/>
    <w:qFormat/>
    <w:rsid w:val="009A69F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A69F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A69F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A69FA"/>
    <w:pPr>
      <w:keepNext/>
      <w:spacing w:before="240" w:after="60"/>
      <w:outlineLvl w:val="3"/>
    </w:pPr>
    <w:rPr>
      <w:b/>
      <w:bCs/>
      <w:sz w:val="28"/>
      <w:szCs w:val="28"/>
    </w:rPr>
  </w:style>
  <w:style w:type="paragraph" w:styleId="5">
    <w:name w:val="heading 5"/>
    <w:basedOn w:val="a"/>
    <w:next w:val="a"/>
    <w:link w:val="50"/>
    <w:uiPriority w:val="9"/>
    <w:semiHidden/>
    <w:unhideWhenUsed/>
    <w:qFormat/>
    <w:rsid w:val="009A69FA"/>
    <w:pPr>
      <w:spacing w:before="240" w:after="60"/>
      <w:outlineLvl w:val="4"/>
    </w:pPr>
    <w:rPr>
      <w:b/>
      <w:bCs/>
      <w:i/>
      <w:iCs/>
      <w:sz w:val="26"/>
      <w:szCs w:val="26"/>
    </w:rPr>
  </w:style>
  <w:style w:type="paragraph" w:styleId="6">
    <w:name w:val="heading 6"/>
    <w:basedOn w:val="a"/>
    <w:next w:val="a"/>
    <w:link w:val="60"/>
    <w:uiPriority w:val="9"/>
    <w:semiHidden/>
    <w:unhideWhenUsed/>
    <w:qFormat/>
    <w:rsid w:val="009A69FA"/>
    <w:pPr>
      <w:spacing w:before="240" w:after="60"/>
      <w:outlineLvl w:val="5"/>
    </w:pPr>
    <w:rPr>
      <w:b/>
      <w:bCs/>
      <w:sz w:val="22"/>
      <w:szCs w:val="22"/>
    </w:rPr>
  </w:style>
  <w:style w:type="paragraph" w:styleId="7">
    <w:name w:val="heading 7"/>
    <w:basedOn w:val="a"/>
    <w:next w:val="a"/>
    <w:link w:val="70"/>
    <w:uiPriority w:val="9"/>
    <w:semiHidden/>
    <w:unhideWhenUsed/>
    <w:qFormat/>
    <w:rsid w:val="009A69FA"/>
    <w:pPr>
      <w:spacing w:before="240" w:after="60"/>
      <w:outlineLvl w:val="6"/>
    </w:pPr>
  </w:style>
  <w:style w:type="paragraph" w:styleId="8">
    <w:name w:val="heading 8"/>
    <w:basedOn w:val="a"/>
    <w:next w:val="a"/>
    <w:link w:val="80"/>
    <w:uiPriority w:val="9"/>
    <w:semiHidden/>
    <w:unhideWhenUsed/>
    <w:qFormat/>
    <w:rsid w:val="009A69FA"/>
    <w:pPr>
      <w:spacing w:before="240" w:after="60"/>
      <w:outlineLvl w:val="7"/>
    </w:pPr>
    <w:rPr>
      <w:i/>
      <w:iCs/>
    </w:rPr>
  </w:style>
  <w:style w:type="paragraph" w:styleId="9">
    <w:name w:val="heading 9"/>
    <w:basedOn w:val="a"/>
    <w:next w:val="a"/>
    <w:link w:val="90"/>
    <w:uiPriority w:val="9"/>
    <w:semiHidden/>
    <w:unhideWhenUsed/>
    <w:qFormat/>
    <w:rsid w:val="009A69F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B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1B65"/>
    <w:rPr>
      <w:sz w:val="18"/>
      <w:szCs w:val="18"/>
    </w:rPr>
  </w:style>
  <w:style w:type="paragraph" w:styleId="a5">
    <w:name w:val="footer"/>
    <w:basedOn w:val="a"/>
    <w:link w:val="a6"/>
    <w:uiPriority w:val="99"/>
    <w:unhideWhenUsed/>
    <w:rsid w:val="008F1B65"/>
    <w:pPr>
      <w:tabs>
        <w:tab w:val="center" w:pos="4153"/>
        <w:tab w:val="right" w:pos="8306"/>
      </w:tabs>
      <w:snapToGrid w:val="0"/>
    </w:pPr>
    <w:rPr>
      <w:sz w:val="18"/>
      <w:szCs w:val="18"/>
    </w:rPr>
  </w:style>
  <w:style w:type="character" w:customStyle="1" w:styleId="a6">
    <w:name w:val="页脚 字符"/>
    <w:basedOn w:val="a0"/>
    <w:link w:val="a5"/>
    <w:uiPriority w:val="99"/>
    <w:rsid w:val="008F1B65"/>
    <w:rPr>
      <w:sz w:val="18"/>
      <w:szCs w:val="18"/>
    </w:rPr>
  </w:style>
  <w:style w:type="character" w:customStyle="1" w:styleId="10">
    <w:name w:val="标题 1 字符"/>
    <w:basedOn w:val="a0"/>
    <w:link w:val="1"/>
    <w:uiPriority w:val="9"/>
    <w:rsid w:val="009A69FA"/>
    <w:rPr>
      <w:rFonts w:asciiTheme="majorHAnsi" w:eastAsiaTheme="majorEastAsia" w:hAnsiTheme="majorHAnsi"/>
      <w:b/>
      <w:bCs/>
      <w:kern w:val="32"/>
      <w:sz w:val="32"/>
      <w:szCs w:val="32"/>
    </w:rPr>
  </w:style>
  <w:style w:type="character" w:customStyle="1" w:styleId="20">
    <w:name w:val="标题 2 字符"/>
    <w:basedOn w:val="a0"/>
    <w:link w:val="2"/>
    <w:uiPriority w:val="9"/>
    <w:semiHidden/>
    <w:rsid w:val="009A69FA"/>
    <w:rPr>
      <w:rFonts w:asciiTheme="majorHAnsi" w:eastAsiaTheme="majorEastAsia" w:hAnsiTheme="majorHAnsi"/>
      <w:b/>
      <w:bCs/>
      <w:i/>
      <w:iCs/>
      <w:sz w:val="28"/>
      <w:szCs w:val="28"/>
    </w:rPr>
  </w:style>
  <w:style w:type="character" w:customStyle="1" w:styleId="30">
    <w:name w:val="标题 3 字符"/>
    <w:basedOn w:val="a0"/>
    <w:link w:val="3"/>
    <w:uiPriority w:val="9"/>
    <w:semiHidden/>
    <w:rsid w:val="009A69FA"/>
    <w:rPr>
      <w:rFonts w:asciiTheme="majorHAnsi" w:eastAsiaTheme="majorEastAsia" w:hAnsiTheme="majorHAnsi"/>
      <w:b/>
      <w:bCs/>
      <w:sz w:val="26"/>
      <w:szCs w:val="26"/>
    </w:rPr>
  </w:style>
  <w:style w:type="character" w:customStyle="1" w:styleId="40">
    <w:name w:val="标题 4 字符"/>
    <w:basedOn w:val="a0"/>
    <w:link w:val="4"/>
    <w:uiPriority w:val="9"/>
    <w:semiHidden/>
    <w:rsid w:val="009A69FA"/>
    <w:rPr>
      <w:b/>
      <w:bCs/>
      <w:sz w:val="28"/>
      <w:szCs w:val="28"/>
    </w:rPr>
  </w:style>
  <w:style w:type="character" w:customStyle="1" w:styleId="50">
    <w:name w:val="标题 5 字符"/>
    <w:basedOn w:val="a0"/>
    <w:link w:val="5"/>
    <w:uiPriority w:val="9"/>
    <w:semiHidden/>
    <w:rsid w:val="009A69FA"/>
    <w:rPr>
      <w:b/>
      <w:bCs/>
      <w:i/>
      <w:iCs/>
      <w:sz w:val="26"/>
      <w:szCs w:val="26"/>
    </w:rPr>
  </w:style>
  <w:style w:type="character" w:customStyle="1" w:styleId="60">
    <w:name w:val="标题 6 字符"/>
    <w:basedOn w:val="a0"/>
    <w:link w:val="6"/>
    <w:uiPriority w:val="9"/>
    <w:semiHidden/>
    <w:rsid w:val="009A69FA"/>
    <w:rPr>
      <w:b/>
      <w:bCs/>
    </w:rPr>
  </w:style>
  <w:style w:type="character" w:customStyle="1" w:styleId="70">
    <w:name w:val="标题 7 字符"/>
    <w:basedOn w:val="a0"/>
    <w:link w:val="7"/>
    <w:uiPriority w:val="9"/>
    <w:semiHidden/>
    <w:rsid w:val="009A69FA"/>
    <w:rPr>
      <w:sz w:val="24"/>
      <w:szCs w:val="24"/>
    </w:rPr>
  </w:style>
  <w:style w:type="character" w:customStyle="1" w:styleId="80">
    <w:name w:val="标题 8 字符"/>
    <w:basedOn w:val="a0"/>
    <w:link w:val="8"/>
    <w:uiPriority w:val="9"/>
    <w:semiHidden/>
    <w:rsid w:val="009A69FA"/>
    <w:rPr>
      <w:i/>
      <w:iCs/>
      <w:sz w:val="24"/>
      <w:szCs w:val="24"/>
    </w:rPr>
  </w:style>
  <w:style w:type="character" w:customStyle="1" w:styleId="90">
    <w:name w:val="标题 9 字符"/>
    <w:basedOn w:val="a0"/>
    <w:link w:val="9"/>
    <w:uiPriority w:val="9"/>
    <w:semiHidden/>
    <w:rsid w:val="009A69FA"/>
    <w:rPr>
      <w:rFonts w:asciiTheme="majorHAnsi" w:eastAsiaTheme="majorEastAsia" w:hAnsiTheme="majorHAnsi"/>
    </w:rPr>
  </w:style>
  <w:style w:type="paragraph" w:styleId="a7">
    <w:name w:val="Title"/>
    <w:basedOn w:val="a"/>
    <w:next w:val="a"/>
    <w:link w:val="a8"/>
    <w:uiPriority w:val="10"/>
    <w:qFormat/>
    <w:rsid w:val="009A69FA"/>
    <w:pPr>
      <w:spacing w:before="240" w:after="60"/>
      <w:jc w:val="center"/>
      <w:outlineLvl w:val="0"/>
    </w:pPr>
    <w:rPr>
      <w:rFonts w:asciiTheme="majorHAnsi" w:eastAsiaTheme="majorEastAsia" w:hAnsiTheme="majorHAnsi"/>
      <w:b/>
      <w:bCs/>
      <w:kern w:val="28"/>
      <w:sz w:val="32"/>
      <w:szCs w:val="32"/>
    </w:rPr>
  </w:style>
  <w:style w:type="character" w:customStyle="1" w:styleId="a8">
    <w:name w:val="标题 字符"/>
    <w:basedOn w:val="a0"/>
    <w:link w:val="a7"/>
    <w:uiPriority w:val="10"/>
    <w:rsid w:val="009A69FA"/>
    <w:rPr>
      <w:rFonts w:asciiTheme="majorHAnsi" w:eastAsiaTheme="majorEastAsia" w:hAnsiTheme="majorHAnsi"/>
      <w:b/>
      <w:bCs/>
      <w:kern w:val="28"/>
      <w:sz w:val="32"/>
      <w:szCs w:val="32"/>
    </w:rPr>
  </w:style>
  <w:style w:type="paragraph" w:styleId="a9">
    <w:name w:val="Subtitle"/>
    <w:basedOn w:val="a"/>
    <w:next w:val="a"/>
    <w:link w:val="aa"/>
    <w:uiPriority w:val="11"/>
    <w:qFormat/>
    <w:rsid w:val="009A69FA"/>
    <w:pPr>
      <w:spacing w:after="60"/>
      <w:jc w:val="center"/>
      <w:outlineLvl w:val="1"/>
    </w:pPr>
    <w:rPr>
      <w:rFonts w:asciiTheme="majorHAnsi" w:eastAsiaTheme="majorEastAsia" w:hAnsiTheme="majorHAnsi"/>
    </w:rPr>
  </w:style>
  <w:style w:type="character" w:customStyle="1" w:styleId="aa">
    <w:name w:val="副标题 字符"/>
    <w:basedOn w:val="a0"/>
    <w:link w:val="a9"/>
    <w:uiPriority w:val="11"/>
    <w:rsid w:val="009A69FA"/>
    <w:rPr>
      <w:rFonts w:asciiTheme="majorHAnsi" w:eastAsiaTheme="majorEastAsia" w:hAnsiTheme="majorHAnsi"/>
      <w:sz w:val="24"/>
      <w:szCs w:val="24"/>
    </w:rPr>
  </w:style>
  <w:style w:type="character" w:styleId="ab">
    <w:name w:val="Strong"/>
    <w:basedOn w:val="a0"/>
    <w:uiPriority w:val="22"/>
    <w:qFormat/>
    <w:rsid w:val="009A69FA"/>
    <w:rPr>
      <w:b/>
      <w:bCs/>
    </w:rPr>
  </w:style>
  <w:style w:type="character" w:styleId="ac">
    <w:name w:val="Emphasis"/>
    <w:basedOn w:val="a0"/>
    <w:uiPriority w:val="20"/>
    <w:qFormat/>
    <w:rsid w:val="009A69FA"/>
    <w:rPr>
      <w:rFonts w:asciiTheme="minorHAnsi" w:hAnsiTheme="minorHAnsi"/>
      <w:b/>
      <w:i/>
      <w:iCs/>
    </w:rPr>
  </w:style>
  <w:style w:type="paragraph" w:styleId="ad">
    <w:name w:val="No Spacing"/>
    <w:basedOn w:val="a"/>
    <w:uiPriority w:val="1"/>
    <w:qFormat/>
    <w:rsid w:val="009A69FA"/>
    <w:rPr>
      <w:szCs w:val="32"/>
    </w:rPr>
  </w:style>
  <w:style w:type="paragraph" w:styleId="ae">
    <w:name w:val="List Paragraph"/>
    <w:basedOn w:val="a"/>
    <w:uiPriority w:val="34"/>
    <w:qFormat/>
    <w:rsid w:val="009A69FA"/>
    <w:pPr>
      <w:ind w:left="720"/>
      <w:contextualSpacing/>
    </w:pPr>
  </w:style>
  <w:style w:type="paragraph" w:styleId="af">
    <w:name w:val="Quote"/>
    <w:basedOn w:val="a"/>
    <w:next w:val="a"/>
    <w:link w:val="af0"/>
    <w:uiPriority w:val="29"/>
    <w:qFormat/>
    <w:rsid w:val="009A69FA"/>
    <w:rPr>
      <w:i/>
    </w:rPr>
  </w:style>
  <w:style w:type="character" w:customStyle="1" w:styleId="af0">
    <w:name w:val="引用 字符"/>
    <w:basedOn w:val="a0"/>
    <w:link w:val="af"/>
    <w:uiPriority w:val="29"/>
    <w:rsid w:val="009A69FA"/>
    <w:rPr>
      <w:i/>
      <w:sz w:val="24"/>
      <w:szCs w:val="24"/>
    </w:rPr>
  </w:style>
  <w:style w:type="paragraph" w:styleId="af1">
    <w:name w:val="Intense Quote"/>
    <w:basedOn w:val="a"/>
    <w:next w:val="a"/>
    <w:link w:val="af2"/>
    <w:uiPriority w:val="30"/>
    <w:qFormat/>
    <w:rsid w:val="009A69FA"/>
    <w:pPr>
      <w:ind w:left="720" w:right="720"/>
    </w:pPr>
    <w:rPr>
      <w:b/>
      <w:i/>
      <w:szCs w:val="22"/>
    </w:rPr>
  </w:style>
  <w:style w:type="character" w:customStyle="1" w:styleId="af2">
    <w:name w:val="明显引用 字符"/>
    <w:basedOn w:val="a0"/>
    <w:link w:val="af1"/>
    <w:uiPriority w:val="30"/>
    <w:rsid w:val="009A69FA"/>
    <w:rPr>
      <w:b/>
      <w:i/>
      <w:sz w:val="24"/>
    </w:rPr>
  </w:style>
  <w:style w:type="character" w:styleId="af3">
    <w:name w:val="Subtle Emphasis"/>
    <w:uiPriority w:val="19"/>
    <w:qFormat/>
    <w:rsid w:val="009A69FA"/>
    <w:rPr>
      <w:i/>
      <w:color w:val="5A5A5A" w:themeColor="text1" w:themeTint="A5"/>
    </w:rPr>
  </w:style>
  <w:style w:type="character" w:styleId="af4">
    <w:name w:val="Intense Emphasis"/>
    <w:basedOn w:val="a0"/>
    <w:uiPriority w:val="21"/>
    <w:qFormat/>
    <w:rsid w:val="009A69FA"/>
    <w:rPr>
      <w:b/>
      <w:i/>
      <w:sz w:val="24"/>
      <w:szCs w:val="24"/>
      <w:u w:val="single"/>
    </w:rPr>
  </w:style>
  <w:style w:type="character" w:styleId="af5">
    <w:name w:val="Subtle Reference"/>
    <w:basedOn w:val="a0"/>
    <w:uiPriority w:val="31"/>
    <w:qFormat/>
    <w:rsid w:val="009A69FA"/>
    <w:rPr>
      <w:sz w:val="24"/>
      <w:szCs w:val="24"/>
      <w:u w:val="single"/>
    </w:rPr>
  </w:style>
  <w:style w:type="character" w:styleId="af6">
    <w:name w:val="Intense Reference"/>
    <w:basedOn w:val="a0"/>
    <w:uiPriority w:val="32"/>
    <w:qFormat/>
    <w:rsid w:val="009A69FA"/>
    <w:rPr>
      <w:b/>
      <w:sz w:val="24"/>
      <w:u w:val="single"/>
    </w:rPr>
  </w:style>
  <w:style w:type="character" w:styleId="af7">
    <w:name w:val="Book Title"/>
    <w:basedOn w:val="a0"/>
    <w:uiPriority w:val="33"/>
    <w:qFormat/>
    <w:rsid w:val="009A69FA"/>
    <w:rPr>
      <w:rFonts w:asciiTheme="majorHAnsi" w:eastAsiaTheme="majorEastAsia" w:hAnsiTheme="majorHAnsi"/>
      <w:b/>
      <w:i/>
      <w:sz w:val="24"/>
      <w:szCs w:val="24"/>
    </w:rPr>
  </w:style>
  <w:style w:type="paragraph" w:styleId="TOC">
    <w:name w:val="TOC Heading"/>
    <w:basedOn w:val="1"/>
    <w:next w:val="a"/>
    <w:uiPriority w:val="39"/>
    <w:semiHidden/>
    <w:unhideWhenUsed/>
    <w:qFormat/>
    <w:rsid w:val="009A69FA"/>
    <w:pPr>
      <w:outlineLvl w:val="9"/>
    </w:pPr>
  </w:style>
  <w:style w:type="paragraph" w:styleId="af8">
    <w:name w:val="Normal (Web)"/>
    <w:basedOn w:val="a"/>
    <w:uiPriority w:val="99"/>
    <w:unhideWhenUsed/>
    <w:qFormat/>
    <w:rsid w:val="000B545F"/>
    <w:pPr>
      <w:spacing w:before="100" w:beforeAutospacing="1" w:after="100" w:afterAutospacing="1"/>
    </w:pPr>
    <w:rPr>
      <w:rFonts w:ascii="宋体" w:eastAsia="宋体" w:hAnsi="宋体" w:cs="宋体"/>
    </w:rPr>
  </w:style>
  <w:style w:type="paragraph" w:styleId="af9">
    <w:name w:val="Balloon Text"/>
    <w:basedOn w:val="a"/>
    <w:link w:val="afa"/>
    <w:uiPriority w:val="99"/>
    <w:semiHidden/>
    <w:unhideWhenUsed/>
    <w:rsid w:val="00D6486B"/>
    <w:rPr>
      <w:sz w:val="18"/>
      <w:szCs w:val="18"/>
    </w:rPr>
  </w:style>
  <w:style w:type="character" w:customStyle="1" w:styleId="afa">
    <w:name w:val="批注框文本 字符"/>
    <w:basedOn w:val="a0"/>
    <w:link w:val="af9"/>
    <w:uiPriority w:val="99"/>
    <w:semiHidden/>
    <w:rsid w:val="00D648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postone-02\Desktop\&#24066;&#22330;&#36319;&#36394;&#349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申万一级行业月度表现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申万行业月度表现!$A$2</c:f>
              <c:strCache>
                <c:ptCount val="1"/>
                <c:pt idx="0">
                  <c:v>食品饮料</c:v>
                </c:pt>
              </c:strCache>
            </c:strRef>
          </c:tx>
          <c:spPr>
            <a:solidFill>
              <a:schemeClr val="accent1"/>
            </a:solidFill>
            <a:ln>
              <a:noFill/>
            </a:ln>
            <a:effectLst/>
          </c:spPr>
          <c:invertIfNegative val="0"/>
          <c:cat>
            <c:strRef>
              <c:f>申万行业月度表现!$B$1</c:f>
              <c:strCache>
                <c:ptCount val="1"/>
                <c:pt idx="0">
                  <c:v>申万一级行业月度涨幅%</c:v>
                </c:pt>
              </c:strCache>
            </c:strRef>
          </c:cat>
          <c:val>
            <c:numRef>
              <c:f>申万行业月度表现!$B$2</c:f>
              <c:numCache>
                <c:formatCode>#,##0.0000</c:formatCode>
                <c:ptCount val="1"/>
                <c:pt idx="0">
                  <c:v>9.3143999999999991</c:v>
                </c:pt>
              </c:numCache>
            </c:numRef>
          </c:val>
          <c:extLst>
            <c:ext xmlns:c16="http://schemas.microsoft.com/office/drawing/2014/chart" uri="{C3380CC4-5D6E-409C-BE32-E72D297353CC}">
              <c16:uniqueId val="{00000000-0DCF-4368-BDDB-9DE405CE5252}"/>
            </c:ext>
          </c:extLst>
        </c:ser>
        <c:ser>
          <c:idx val="1"/>
          <c:order val="1"/>
          <c:tx>
            <c:strRef>
              <c:f>申万行业月度表现!$A$3</c:f>
              <c:strCache>
                <c:ptCount val="1"/>
                <c:pt idx="0">
                  <c:v>医药生物</c:v>
                </c:pt>
              </c:strCache>
            </c:strRef>
          </c:tx>
          <c:spPr>
            <a:solidFill>
              <a:schemeClr val="accent2"/>
            </a:solidFill>
            <a:ln>
              <a:noFill/>
            </a:ln>
            <a:effectLst/>
          </c:spPr>
          <c:invertIfNegative val="0"/>
          <c:cat>
            <c:strRef>
              <c:f>申万行业月度表现!$B$1</c:f>
              <c:strCache>
                <c:ptCount val="1"/>
                <c:pt idx="0">
                  <c:v>申万一级行业月度涨幅%</c:v>
                </c:pt>
              </c:strCache>
            </c:strRef>
          </c:cat>
          <c:val>
            <c:numRef>
              <c:f>申万行业月度表现!$B$3</c:f>
              <c:numCache>
                <c:formatCode>#,##0.0000</c:formatCode>
                <c:ptCount val="1"/>
                <c:pt idx="0">
                  <c:v>7.7904999999999998</c:v>
                </c:pt>
              </c:numCache>
            </c:numRef>
          </c:val>
          <c:extLst>
            <c:ext xmlns:c16="http://schemas.microsoft.com/office/drawing/2014/chart" uri="{C3380CC4-5D6E-409C-BE32-E72D297353CC}">
              <c16:uniqueId val="{00000001-0DCF-4368-BDDB-9DE405CE5252}"/>
            </c:ext>
          </c:extLst>
        </c:ser>
        <c:ser>
          <c:idx val="2"/>
          <c:order val="2"/>
          <c:tx>
            <c:strRef>
              <c:f>申万行业月度表现!$A$4</c:f>
              <c:strCache>
                <c:ptCount val="1"/>
                <c:pt idx="0">
                  <c:v>电子</c:v>
                </c:pt>
              </c:strCache>
            </c:strRef>
          </c:tx>
          <c:spPr>
            <a:solidFill>
              <a:schemeClr val="accent3"/>
            </a:solidFill>
            <a:ln>
              <a:noFill/>
            </a:ln>
            <a:effectLst/>
          </c:spPr>
          <c:invertIfNegative val="0"/>
          <c:cat>
            <c:strRef>
              <c:f>申万行业月度表现!$B$1</c:f>
              <c:strCache>
                <c:ptCount val="1"/>
                <c:pt idx="0">
                  <c:v>申万一级行业月度涨幅%</c:v>
                </c:pt>
              </c:strCache>
            </c:strRef>
          </c:cat>
          <c:val>
            <c:numRef>
              <c:f>申万行业月度表现!$B$4</c:f>
              <c:numCache>
                <c:formatCode>#,##0.0000</c:formatCode>
                <c:ptCount val="1"/>
                <c:pt idx="0">
                  <c:v>7.3559000000000001</c:v>
                </c:pt>
              </c:numCache>
            </c:numRef>
          </c:val>
          <c:extLst>
            <c:ext xmlns:c16="http://schemas.microsoft.com/office/drawing/2014/chart" uri="{C3380CC4-5D6E-409C-BE32-E72D297353CC}">
              <c16:uniqueId val="{00000002-0DCF-4368-BDDB-9DE405CE5252}"/>
            </c:ext>
          </c:extLst>
        </c:ser>
        <c:ser>
          <c:idx val="3"/>
          <c:order val="3"/>
          <c:tx>
            <c:strRef>
              <c:f>申万行业月度表现!$A$5</c:f>
              <c:strCache>
                <c:ptCount val="1"/>
                <c:pt idx="0">
                  <c:v>计算机</c:v>
                </c:pt>
              </c:strCache>
            </c:strRef>
          </c:tx>
          <c:spPr>
            <a:solidFill>
              <a:schemeClr val="accent4"/>
            </a:solidFill>
            <a:ln>
              <a:noFill/>
            </a:ln>
            <a:effectLst/>
          </c:spPr>
          <c:invertIfNegative val="0"/>
          <c:cat>
            <c:strRef>
              <c:f>申万行业月度表现!$B$1</c:f>
              <c:strCache>
                <c:ptCount val="1"/>
                <c:pt idx="0">
                  <c:v>申万一级行业月度涨幅%</c:v>
                </c:pt>
              </c:strCache>
            </c:strRef>
          </c:cat>
          <c:val>
            <c:numRef>
              <c:f>申万行业月度表现!$B$5</c:f>
              <c:numCache>
                <c:formatCode>#,##0.0000</c:formatCode>
                <c:ptCount val="1"/>
                <c:pt idx="0">
                  <c:v>5.4973000000000001</c:v>
                </c:pt>
              </c:numCache>
            </c:numRef>
          </c:val>
          <c:extLst>
            <c:ext xmlns:c16="http://schemas.microsoft.com/office/drawing/2014/chart" uri="{C3380CC4-5D6E-409C-BE32-E72D297353CC}">
              <c16:uniqueId val="{00000003-0DCF-4368-BDDB-9DE405CE5252}"/>
            </c:ext>
          </c:extLst>
        </c:ser>
        <c:ser>
          <c:idx val="4"/>
          <c:order val="4"/>
          <c:tx>
            <c:strRef>
              <c:f>申万行业月度表现!$A$6</c:f>
              <c:strCache>
                <c:ptCount val="1"/>
                <c:pt idx="0">
                  <c:v>有色金属</c:v>
                </c:pt>
              </c:strCache>
            </c:strRef>
          </c:tx>
          <c:spPr>
            <a:solidFill>
              <a:schemeClr val="accent5"/>
            </a:solidFill>
            <a:ln>
              <a:noFill/>
            </a:ln>
            <a:effectLst/>
          </c:spPr>
          <c:invertIfNegative val="0"/>
          <c:cat>
            <c:strRef>
              <c:f>申万行业月度表现!$B$1</c:f>
              <c:strCache>
                <c:ptCount val="1"/>
                <c:pt idx="0">
                  <c:v>申万一级行业月度涨幅%</c:v>
                </c:pt>
              </c:strCache>
            </c:strRef>
          </c:cat>
          <c:val>
            <c:numRef>
              <c:f>申万行业月度表现!$B$6</c:f>
              <c:numCache>
                <c:formatCode>#,##0.0000</c:formatCode>
                <c:ptCount val="1"/>
                <c:pt idx="0">
                  <c:v>3.7627000000000002</c:v>
                </c:pt>
              </c:numCache>
            </c:numRef>
          </c:val>
          <c:extLst>
            <c:ext xmlns:c16="http://schemas.microsoft.com/office/drawing/2014/chart" uri="{C3380CC4-5D6E-409C-BE32-E72D297353CC}">
              <c16:uniqueId val="{00000004-0DCF-4368-BDDB-9DE405CE5252}"/>
            </c:ext>
          </c:extLst>
        </c:ser>
        <c:ser>
          <c:idx val="5"/>
          <c:order val="5"/>
          <c:tx>
            <c:strRef>
              <c:f>申万行业月度表现!$A$7</c:f>
              <c:strCache>
                <c:ptCount val="1"/>
                <c:pt idx="0">
                  <c:v>农林牧渔</c:v>
                </c:pt>
              </c:strCache>
            </c:strRef>
          </c:tx>
          <c:spPr>
            <a:solidFill>
              <a:schemeClr val="accent6"/>
            </a:solidFill>
            <a:ln>
              <a:noFill/>
            </a:ln>
            <a:effectLst/>
          </c:spPr>
          <c:invertIfNegative val="0"/>
          <c:cat>
            <c:strRef>
              <c:f>申万行业月度表现!$B$1</c:f>
              <c:strCache>
                <c:ptCount val="1"/>
                <c:pt idx="0">
                  <c:v>申万一级行业月度涨幅%</c:v>
                </c:pt>
              </c:strCache>
            </c:strRef>
          </c:cat>
          <c:val>
            <c:numRef>
              <c:f>申万行业月度表现!$B$7</c:f>
              <c:numCache>
                <c:formatCode>#,##0.0000</c:formatCode>
                <c:ptCount val="1"/>
                <c:pt idx="0">
                  <c:v>2.5663</c:v>
                </c:pt>
              </c:numCache>
            </c:numRef>
          </c:val>
          <c:extLst>
            <c:ext xmlns:c16="http://schemas.microsoft.com/office/drawing/2014/chart" uri="{C3380CC4-5D6E-409C-BE32-E72D297353CC}">
              <c16:uniqueId val="{00000005-0DCF-4368-BDDB-9DE405CE5252}"/>
            </c:ext>
          </c:extLst>
        </c:ser>
        <c:ser>
          <c:idx val="6"/>
          <c:order val="6"/>
          <c:tx>
            <c:strRef>
              <c:f>申万行业月度表现!$A$8</c:f>
              <c:strCache>
                <c:ptCount val="1"/>
                <c:pt idx="0">
                  <c:v>休闲服务</c:v>
                </c:pt>
              </c:strCache>
            </c:strRef>
          </c:tx>
          <c:spPr>
            <a:solidFill>
              <a:schemeClr val="accent1">
                <a:lumMod val="60000"/>
              </a:schemeClr>
            </a:solidFill>
            <a:ln>
              <a:noFill/>
            </a:ln>
            <a:effectLst/>
          </c:spPr>
          <c:invertIfNegative val="0"/>
          <c:cat>
            <c:strRef>
              <c:f>申万行业月度表现!$B$1</c:f>
              <c:strCache>
                <c:ptCount val="1"/>
                <c:pt idx="0">
                  <c:v>申万一级行业月度涨幅%</c:v>
                </c:pt>
              </c:strCache>
            </c:strRef>
          </c:cat>
          <c:val>
            <c:numRef>
              <c:f>申万行业月度表现!$B$8</c:f>
              <c:numCache>
                <c:formatCode>#,##0.0000</c:formatCode>
                <c:ptCount val="1"/>
                <c:pt idx="0">
                  <c:v>2.4695</c:v>
                </c:pt>
              </c:numCache>
            </c:numRef>
          </c:val>
          <c:extLst>
            <c:ext xmlns:c16="http://schemas.microsoft.com/office/drawing/2014/chart" uri="{C3380CC4-5D6E-409C-BE32-E72D297353CC}">
              <c16:uniqueId val="{00000006-0DCF-4368-BDDB-9DE405CE5252}"/>
            </c:ext>
          </c:extLst>
        </c:ser>
        <c:ser>
          <c:idx val="7"/>
          <c:order val="7"/>
          <c:tx>
            <c:strRef>
              <c:f>申万行业月度表现!$A$9</c:f>
              <c:strCache>
                <c:ptCount val="1"/>
                <c:pt idx="0">
                  <c:v>传媒</c:v>
                </c:pt>
              </c:strCache>
            </c:strRef>
          </c:tx>
          <c:spPr>
            <a:solidFill>
              <a:schemeClr val="accent2">
                <a:lumMod val="60000"/>
              </a:schemeClr>
            </a:solidFill>
            <a:ln>
              <a:noFill/>
            </a:ln>
            <a:effectLst/>
          </c:spPr>
          <c:invertIfNegative val="0"/>
          <c:cat>
            <c:strRef>
              <c:f>申万行业月度表现!$B$1</c:f>
              <c:strCache>
                <c:ptCount val="1"/>
                <c:pt idx="0">
                  <c:v>申万一级行业月度涨幅%</c:v>
                </c:pt>
              </c:strCache>
            </c:strRef>
          </c:cat>
          <c:val>
            <c:numRef>
              <c:f>申万行业月度表现!$B$9</c:f>
              <c:numCache>
                <c:formatCode>#,##0.0000</c:formatCode>
                <c:ptCount val="1"/>
                <c:pt idx="0">
                  <c:v>2.1419000000000001</c:v>
                </c:pt>
              </c:numCache>
            </c:numRef>
          </c:val>
          <c:extLst>
            <c:ext xmlns:c16="http://schemas.microsoft.com/office/drawing/2014/chart" uri="{C3380CC4-5D6E-409C-BE32-E72D297353CC}">
              <c16:uniqueId val="{00000007-0DCF-4368-BDDB-9DE405CE5252}"/>
            </c:ext>
          </c:extLst>
        </c:ser>
        <c:ser>
          <c:idx val="8"/>
          <c:order val="8"/>
          <c:tx>
            <c:strRef>
              <c:f>申万行业月度表现!$A$10</c:f>
              <c:strCache>
                <c:ptCount val="1"/>
                <c:pt idx="0">
                  <c:v>国防军工</c:v>
                </c:pt>
              </c:strCache>
            </c:strRef>
          </c:tx>
          <c:spPr>
            <a:solidFill>
              <a:schemeClr val="accent3">
                <a:lumMod val="60000"/>
              </a:schemeClr>
            </a:solidFill>
            <a:ln>
              <a:noFill/>
            </a:ln>
            <a:effectLst/>
          </c:spPr>
          <c:invertIfNegative val="0"/>
          <c:cat>
            <c:strRef>
              <c:f>申万行业月度表现!$B$1</c:f>
              <c:strCache>
                <c:ptCount val="1"/>
                <c:pt idx="0">
                  <c:v>申万一级行业月度涨幅%</c:v>
                </c:pt>
              </c:strCache>
            </c:strRef>
          </c:cat>
          <c:val>
            <c:numRef>
              <c:f>申万行业月度表现!$B$10</c:f>
              <c:numCache>
                <c:formatCode>#,##0.0000</c:formatCode>
                <c:ptCount val="1"/>
                <c:pt idx="0">
                  <c:v>1.9059999999999999</c:v>
                </c:pt>
              </c:numCache>
            </c:numRef>
          </c:val>
          <c:extLst>
            <c:ext xmlns:c16="http://schemas.microsoft.com/office/drawing/2014/chart" uri="{C3380CC4-5D6E-409C-BE32-E72D297353CC}">
              <c16:uniqueId val="{00000008-0DCF-4368-BDDB-9DE405CE5252}"/>
            </c:ext>
          </c:extLst>
        </c:ser>
        <c:ser>
          <c:idx val="9"/>
          <c:order val="9"/>
          <c:tx>
            <c:strRef>
              <c:f>申万行业月度表现!$A$11</c:f>
              <c:strCache>
                <c:ptCount val="1"/>
                <c:pt idx="0">
                  <c:v>轻工制造</c:v>
                </c:pt>
              </c:strCache>
            </c:strRef>
          </c:tx>
          <c:spPr>
            <a:solidFill>
              <a:schemeClr val="accent4">
                <a:lumMod val="60000"/>
              </a:schemeClr>
            </a:solidFill>
            <a:ln>
              <a:noFill/>
            </a:ln>
            <a:effectLst/>
          </c:spPr>
          <c:invertIfNegative val="0"/>
          <c:cat>
            <c:strRef>
              <c:f>申万行业月度表现!$B$1</c:f>
              <c:strCache>
                <c:ptCount val="1"/>
                <c:pt idx="0">
                  <c:v>申万一级行业月度涨幅%</c:v>
                </c:pt>
              </c:strCache>
            </c:strRef>
          </c:cat>
          <c:val>
            <c:numRef>
              <c:f>申万行业月度表现!$B$11</c:f>
              <c:numCache>
                <c:formatCode>#,##0.0000</c:formatCode>
                <c:ptCount val="1"/>
                <c:pt idx="0">
                  <c:v>1.3314999999999999</c:v>
                </c:pt>
              </c:numCache>
            </c:numRef>
          </c:val>
          <c:extLst>
            <c:ext xmlns:c16="http://schemas.microsoft.com/office/drawing/2014/chart" uri="{C3380CC4-5D6E-409C-BE32-E72D297353CC}">
              <c16:uniqueId val="{00000009-0DCF-4368-BDDB-9DE405CE5252}"/>
            </c:ext>
          </c:extLst>
        </c:ser>
        <c:ser>
          <c:idx val="10"/>
          <c:order val="10"/>
          <c:tx>
            <c:strRef>
              <c:f>申万行业月度表现!$A$12</c:f>
              <c:strCache>
                <c:ptCount val="1"/>
                <c:pt idx="0">
                  <c:v>纺织服装</c:v>
                </c:pt>
              </c:strCache>
            </c:strRef>
          </c:tx>
          <c:spPr>
            <a:solidFill>
              <a:schemeClr val="accent5">
                <a:lumMod val="60000"/>
              </a:schemeClr>
            </a:solidFill>
            <a:ln>
              <a:noFill/>
            </a:ln>
            <a:effectLst/>
          </c:spPr>
          <c:invertIfNegative val="0"/>
          <c:cat>
            <c:strRef>
              <c:f>申万行业月度表现!$B$1</c:f>
              <c:strCache>
                <c:ptCount val="1"/>
                <c:pt idx="0">
                  <c:v>申万一级行业月度涨幅%</c:v>
                </c:pt>
              </c:strCache>
            </c:strRef>
          </c:cat>
          <c:val>
            <c:numRef>
              <c:f>申万行业月度表现!$B$12</c:f>
              <c:numCache>
                <c:formatCode>#,##0.0000</c:formatCode>
                <c:ptCount val="1"/>
                <c:pt idx="0">
                  <c:v>1.3169</c:v>
                </c:pt>
              </c:numCache>
            </c:numRef>
          </c:val>
          <c:extLst>
            <c:ext xmlns:c16="http://schemas.microsoft.com/office/drawing/2014/chart" uri="{C3380CC4-5D6E-409C-BE32-E72D297353CC}">
              <c16:uniqueId val="{0000000A-0DCF-4368-BDDB-9DE405CE5252}"/>
            </c:ext>
          </c:extLst>
        </c:ser>
        <c:ser>
          <c:idx val="11"/>
          <c:order val="11"/>
          <c:tx>
            <c:strRef>
              <c:f>申万行业月度表现!$A$13</c:f>
              <c:strCache>
                <c:ptCount val="1"/>
                <c:pt idx="0">
                  <c:v>商业贸易</c:v>
                </c:pt>
              </c:strCache>
            </c:strRef>
          </c:tx>
          <c:spPr>
            <a:solidFill>
              <a:schemeClr val="accent6">
                <a:lumMod val="60000"/>
              </a:schemeClr>
            </a:solidFill>
            <a:ln>
              <a:noFill/>
            </a:ln>
            <a:effectLst/>
          </c:spPr>
          <c:invertIfNegative val="0"/>
          <c:cat>
            <c:strRef>
              <c:f>申万行业月度表现!$B$1</c:f>
              <c:strCache>
                <c:ptCount val="1"/>
                <c:pt idx="0">
                  <c:v>申万一级行业月度涨幅%</c:v>
                </c:pt>
              </c:strCache>
            </c:strRef>
          </c:cat>
          <c:val>
            <c:numRef>
              <c:f>申万行业月度表现!$B$13</c:f>
              <c:numCache>
                <c:formatCode>#,##0.0000</c:formatCode>
                <c:ptCount val="1"/>
                <c:pt idx="0">
                  <c:v>0.87780000000000002</c:v>
                </c:pt>
              </c:numCache>
            </c:numRef>
          </c:val>
          <c:extLst>
            <c:ext xmlns:c16="http://schemas.microsoft.com/office/drawing/2014/chart" uri="{C3380CC4-5D6E-409C-BE32-E72D297353CC}">
              <c16:uniqueId val="{0000000B-0DCF-4368-BDDB-9DE405CE5252}"/>
            </c:ext>
          </c:extLst>
        </c:ser>
        <c:ser>
          <c:idx val="12"/>
          <c:order val="12"/>
          <c:tx>
            <c:strRef>
              <c:f>申万行业月度表现!$A$14</c:f>
              <c:strCache>
                <c:ptCount val="1"/>
                <c:pt idx="0">
                  <c:v>综合</c:v>
                </c:pt>
              </c:strCache>
            </c:strRef>
          </c:tx>
          <c:spPr>
            <a:solidFill>
              <a:schemeClr val="accent1">
                <a:lumMod val="80000"/>
                <a:lumOff val="20000"/>
              </a:schemeClr>
            </a:solidFill>
            <a:ln>
              <a:noFill/>
            </a:ln>
            <a:effectLst/>
          </c:spPr>
          <c:invertIfNegative val="0"/>
          <c:cat>
            <c:strRef>
              <c:f>申万行业月度表现!$B$1</c:f>
              <c:strCache>
                <c:ptCount val="1"/>
                <c:pt idx="0">
                  <c:v>申万一级行业月度涨幅%</c:v>
                </c:pt>
              </c:strCache>
            </c:strRef>
          </c:cat>
          <c:val>
            <c:numRef>
              <c:f>申万行业月度表现!$B$14</c:f>
              <c:numCache>
                <c:formatCode>#,##0.0000</c:formatCode>
                <c:ptCount val="1"/>
                <c:pt idx="0">
                  <c:v>0.43980000000000002</c:v>
                </c:pt>
              </c:numCache>
            </c:numRef>
          </c:val>
          <c:extLst>
            <c:ext xmlns:c16="http://schemas.microsoft.com/office/drawing/2014/chart" uri="{C3380CC4-5D6E-409C-BE32-E72D297353CC}">
              <c16:uniqueId val="{0000000C-0DCF-4368-BDDB-9DE405CE5252}"/>
            </c:ext>
          </c:extLst>
        </c:ser>
        <c:ser>
          <c:idx val="13"/>
          <c:order val="13"/>
          <c:tx>
            <c:strRef>
              <c:f>申万行业月度表现!$A$15</c:f>
              <c:strCache>
                <c:ptCount val="1"/>
                <c:pt idx="0">
                  <c:v>汽车</c:v>
                </c:pt>
              </c:strCache>
            </c:strRef>
          </c:tx>
          <c:spPr>
            <a:solidFill>
              <a:schemeClr val="accent2">
                <a:lumMod val="80000"/>
                <a:lumOff val="20000"/>
              </a:schemeClr>
            </a:solidFill>
            <a:ln>
              <a:noFill/>
            </a:ln>
            <a:effectLst/>
          </c:spPr>
          <c:invertIfNegative val="0"/>
          <c:cat>
            <c:strRef>
              <c:f>申万行业月度表现!$B$1</c:f>
              <c:strCache>
                <c:ptCount val="1"/>
                <c:pt idx="0">
                  <c:v>申万一级行业月度涨幅%</c:v>
                </c:pt>
              </c:strCache>
            </c:strRef>
          </c:cat>
          <c:val>
            <c:numRef>
              <c:f>申万行业月度表现!$B$15</c:f>
              <c:numCache>
                <c:formatCode>#,##0.0000</c:formatCode>
                <c:ptCount val="1"/>
                <c:pt idx="0">
                  <c:v>0.32979999999999998</c:v>
                </c:pt>
              </c:numCache>
            </c:numRef>
          </c:val>
          <c:extLst>
            <c:ext xmlns:c16="http://schemas.microsoft.com/office/drawing/2014/chart" uri="{C3380CC4-5D6E-409C-BE32-E72D297353CC}">
              <c16:uniqueId val="{0000000D-0DCF-4368-BDDB-9DE405CE5252}"/>
            </c:ext>
          </c:extLst>
        </c:ser>
        <c:ser>
          <c:idx val="14"/>
          <c:order val="14"/>
          <c:tx>
            <c:strRef>
              <c:f>申万行业月度表现!$A$16</c:f>
              <c:strCache>
                <c:ptCount val="1"/>
                <c:pt idx="0">
                  <c:v>电气设备</c:v>
                </c:pt>
              </c:strCache>
            </c:strRef>
          </c:tx>
          <c:spPr>
            <a:solidFill>
              <a:schemeClr val="accent3">
                <a:lumMod val="80000"/>
                <a:lumOff val="20000"/>
              </a:schemeClr>
            </a:solidFill>
            <a:ln>
              <a:noFill/>
            </a:ln>
            <a:effectLst/>
          </c:spPr>
          <c:invertIfNegative val="0"/>
          <c:cat>
            <c:strRef>
              <c:f>申万行业月度表现!$B$1</c:f>
              <c:strCache>
                <c:ptCount val="1"/>
                <c:pt idx="0">
                  <c:v>申万一级行业月度涨幅%</c:v>
                </c:pt>
              </c:strCache>
            </c:strRef>
          </c:cat>
          <c:val>
            <c:numRef>
              <c:f>申万行业月度表现!$B$16</c:f>
              <c:numCache>
                <c:formatCode>#,##0.0000</c:formatCode>
                <c:ptCount val="1"/>
                <c:pt idx="0">
                  <c:v>0.21199999999999999</c:v>
                </c:pt>
              </c:numCache>
            </c:numRef>
          </c:val>
          <c:extLst>
            <c:ext xmlns:c16="http://schemas.microsoft.com/office/drawing/2014/chart" uri="{C3380CC4-5D6E-409C-BE32-E72D297353CC}">
              <c16:uniqueId val="{0000000E-0DCF-4368-BDDB-9DE405CE5252}"/>
            </c:ext>
          </c:extLst>
        </c:ser>
        <c:ser>
          <c:idx val="15"/>
          <c:order val="15"/>
          <c:tx>
            <c:strRef>
              <c:f>申万行业月度表现!$A$17</c:f>
              <c:strCache>
                <c:ptCount val="1"/>
                <c:pt idx="0">
                  <c:v>公用事业</c:v>
                </c:pt>
              </c:strCache>
            </c:strRef>
          </c:tx>
          <c:spPr>
            <a:solidFill>
              <a:schemeClr val="accent4">
                <a:lumMod val="80000"/>
                <a:lumOff val="20000"/>
              </a:schemeClr>
            </a:solidFill>
            <a:ln>
              <a:noFill/>
            </a:ln>
            <a:effectLst/>
          </c:spPr>
          <c:invertIfNegative val="0"/>
          <c:cat>
            <c:strRef>
              <c:f>申万行业月度表现!$B$1</c:f>
              <c:strCache>
                <c:ptCount val="1"/>
                <c:pt idx="0">
                  <c:v>申万一级行业月度涨幅%</c:v>
                </c:pt>
              </c:strCache>
            </c:strRef>
          </c:cat>
          <c:val>
            <c:numRef>
              <c:f>申万行业月度表现!$B$17</c:f>
              <c:numCache>
                <c:formatCode>#,##0.0000</c:formatCode>
                <c:ptCount val="1"/>
                <c:pt idx="0">
                  <c:v>-0.38229999999999997</c:v>
                </c:pt>
              </c:numCache>
            </c:numRef>
          </c:val>
          <c:extLst>
            <c:ext xmlns:c16="http://schemas.microsoft.com/office/drawing/2014/chart" uri="{C3380CC4-5D6E-409C-BE32-E72D297353CC}">
              <c16:uniqueId val="{0000000F-0DCF-4368-BDDB-9DE405CE5252}"/>
            </c:ext>
          </c:extLst>
        </c:ser>
        <c:ser>
          <c:idx val="16"/>
          <c:order val="16"/>
          <c:tx>
            <c:strRef>
              <c:f>申万行业月度表现!$A$18</c:f>
              <c:strCache>
                <c:ptCount val="1"/>
                <c:pt idx="0">
                  <c:v>家用电器</c:v>
                </c:pt>
              </c:strCache>
            </c:strRef>
          </c:tx>
          <c:spPr>
            <a:solidFill>
              <a:schemeClr val="accent5">
                <a:lumMod val="80000"/>
                <a:lumOff val="20000"/>
              </a:schemeClr>
            </a:solidFill>
            <a:ln>
              <a:noFill/>
            </a:ln>
            <a:effectLst/>
          </c:spPr>
          <c:invertIfNegative val="0"/>
          <c:cat>
            <c:strRef>
              <c:f>申万行业月度表现!$B$1</c:f>
              <c:strCache>
                <c:ptCount val="1"/>
                <c:pt idx="0">
                  <c:v>申万一级行业月度涨幅%</c:v>
                </c:pt>
              </c:strCache>
            </c:strRef>
          </c:cat>
          <c:val>
            <c:numRef>
              <c:f>申万行业月度表现!$B$18</c:f>
              <c:numCache>
                <c:formatCode>#,##0.0000</c:formatCode>
                <c:ptCount val="1"/>
                <c:pt idx="0">
                  <c:v>-1.5014000000000001</c:v>
                </c:pt>
              </c:numCache>
            </c:numRef>
          </c:val>
          <c:extLst>
            <c:ext xmlns:c16="http://schemas.microsoft.com/office/drawing/2014/chart" uri="{C3380CC4-5D6E-409C-BE32-E72D297353CC}">
              <c16:uniqueId val="{00000010-0DCF-4368-BDDB-9DE405CE5252}"/>
            </c:ext>
          </c:extLst>
        </c:ser>
        <c:ser>
          <c:idx val="17"/>
          <c:order val="17"/>
          <c:tx>
            <c:strRef>
              <c:f>申万行业月度表现!$A$19</c:f>
              <c:strCache>
                <c:ptCount val="1"/>
                <c:pt idx="0">
                  <c:v>通信</c:v>
                </c:pt>
              </c:strCache>
            </c:strRef>
          </c:tx>
          <c:spPr>
            <a:solidFill>
              <a:schemeClr val="accent6">
                <a:lumMod val="80000"/>
                <a:lumOff val="20000"/>
              </a:schemeClr>
            </a:solidFill>
            <a:ln>
              <a:noFill/>
            </a:ln>
            <a:effectLst/>
          </c:spPr>
          <c:invertIfNegative val="0"/>
          <c:cat>
            <c:strRef>
              <c:f>申万行业月度表现!$B$1</c:f>
              <c:strCache>
                <c:ptCount val="1"/>
                <c:pt idx="0">
                  <c:v>申万一级行业月度涨幅%</c:v>
                </c:pt>
              </c:strCache>
            </c:strRef>
          </c:cat>
          <c:val>
            <c:numRef>
              <c:f>申万行业月度表现!$B$19</c:f>
              <c:numCache>
                <c:formatCode>#,##0.0000</c:formatCode>
                <c:ptCount val="1"/>
                <c:pt idx="0">
                  <c:v>-1.6221000000000001</c:v>
                </c:pt>
              </c:numCache>
            </c:numRef>
          </c:val>
          <c:extLst>
            <c:ext xmlns:c16="http://schemas.microsoft.com/office/drawing/2014/chart" uri="{C3380CC4-5D6E-409C-BE32-E72D297353CC}">
              <c16:uniqueId val="{00000011-0DCF-4368-BDDB-9DE405CE5252}"/>
            </c:ext>
          </c:extLst>
        </c:ser>
        <c:ser>
          <c:idx val="18"/>
          <c:order val="18"/>
          <c:tx>
            <c:strRef>
              <c:f>申万行业月度表现!$A$20</c:f>
              <c:strCache>
                <c:ptCount val="1"/>
                <c:pt idx="0">
                  <c:v>化工</c:v>
                </c:pt>
              </c:strCache>
            </c:strRef>
          </c:tx>
          <c:spPr>
            <a:solidFill>
              <a:schemeClr val="accent1">
                <a:lumMod val="80000"/>
              </a:schemeClr>
            </a:solidFill>
            <a:ln>
              <a:noFill/>
            </a:ln>
            <a:effectLst/>
          </c:spPr>
          <c:invertIfNegative val="0"/>
          <c:cat>
            <c:strRef>
              <c:f>申万行业月度表现!$B$1</c:f>
              <c:strCache>
                <c:ptCount val="1"/>
                <c:pt idx="0">
                  <c:v>申万一级行业月度涨幅%</c:v>
                </c:pt>
              </c:strCache>
            </c:strRef>
          </c:cat>
          <c:val>
            <c:numRef>
              <c:f>申万行业月度表现!$B$20</c:f>
              <c:numCache>
                <c:formatCode>#,##0.0000</c:formatCode>
                <c:ptCount val="1"/>
                <c:pt idx="0">
                  <c:v>-2.1556999999999999</c:v>
                </c:pt>
              </c:numCache>
            </c:numRef>
          </c:val>
          <c:extLst>
            <c:ext xmlns:c16="http://schemas.microsoft.com/office/drawing/2014/chart" uri="{C3380CC4-5D6E-409C-BE32-E72D297353CC}">
              <c16:uniqueId val="{00000012-0DCF-4368-BDDB-9DE405CE5252}"/>
            </c:ext>
          </c:extLst>
        </c:ser>
        <c:ser>
          <c:idx val="19"/>
          <c:order val="19"/>
          <c:tx>
            <c:strRef>
              <c:f>申万行业月度表现!$A$21</c:f>
              <c:strCache>
                <c:ptCount val="1"/>
                <c:pt idx="0">
                  <c:v>建筑材料</c:v>
                </c:pt>
              </c:strCache>
            </c:strRef>
          </c:tx>
          <c:spPr>
            <a:solidFill>
              <a:schemeClr val="accent2">
                <a:lumMod val="80000"/>
              </a:schemeClr>
            </a:solidFill>
            <a:ln>
              <a:noFill/>
            </a:ln>
            <a:effectLst/>
          </c:spPr>
          <c:invertIfNegative val="0"/>
          <c:cat>
            <c:strRef>
              <c:f>申万行业月度表现!$B$1</c:f>
              <c:strCache>
                <c:ptCount val="1"/>
                <c:pt idx="0">
                  <c:v>申万一级行业月度涨幅%</c:v>
                </c:pt>
              </c:strCache>
            </c:strRef>
          </c:cat>
          <c:val>
            <c:numRef>
              <c:f>申万行业月度表现!$B$21</c:f>
              <c:numCache>
                <c:formatCode>#,##0.0000</c:formatCode>
                <c:ptCount val="1"/>
                <c:pt idx="0">
                  <c:v>-2.5059999999999998</c:v>
                </c:pt>
              </c:numCache>
            </c:numRef>
          </c:val>
          <c:extLst>
            <c:ext xmlns:c16="http://schemas.microsoft.com/office/drawing/2014/chart" uri="{C3380CC4-5D6E-409C-BE32-E72D297353CC}">
              <c16:uniqueId val="{00000013-0DCF-4368-BDDB-9DE405CE5252}"/>
            </c:ext>
          </c:extLst>
        </c:ser>
        <c:ser>
          <c:idx val="20"/>
          <c:order val="20"/>
          <c:tx>
            <c:strRef>
              <c:f>申万行业月度表现!$A$22</c:f>
              <c:strCache>
                <c:ptCount val="1"/>
                <c:pt idx="0">
                  <c:v>机械设备</c:v>
                </c:pt>
              </c:strCache>
            </c:strRef>
          </c:tx>
          <c:spPr>
            <a:solidFill>
              <a:schemeClr val="accent3">
                <a:lumMod val="80000"/>
              </a:schemeClr>
            </a:solidFill>
            <a:ln>
              <a:noFill/>
            </a:ln>
            <a:effectLst/>
          </c:spPr>
          <c:invertIfNegative val="0"/>
          <c:cat>
            <c:strRef>
              <c:f>申万行业月度表现!$B$1</c:f>
              <c:strCache>
                <c:ptCount val="1"/>
                <c:pt idx="0">
                  <c:v>申万一级行业月度涨幅%</c:v>
                </c:pt>
              </c:strCache>
            </c:strRef>
          </c:cat>
          <c:val>
            <c:numRef>
              <c:f>申万行业月度表现!$B$22</c:f>
              <c:numCache>
                <c:formatCode>#,##0.0000</c:formatCode>
                <c:ptCount val="1"/>
                <c:pt idx="0">
                  <c:v>-2.9660000000000002</c:v>
                </c:pt>
              </c:numCache>
            </c:numRef>
          </c:val>
          <c:extLst>
            <c:ext xmlns:c16="http://schemas.microsoft.com/office/drawing/2014/chart" uri="{C3380CC4-5D6E-409C-BE32-E72D297353CC}">
              <c16:uniqueId val="{00000014-0DCF-4368-BDDB-9DE405CE5252}"/>
            </c:ext>
          </c:extLst>
        </c:ser>
        <c:ser>
          <c:idx val="21"/>
          <c:order val="21"/>
          <c:tx>
            <c:strRef>
              <c:f>申万行业月度表现!$A$23</c:f>
              <c:strCache>
                <c:ptCount val="1"/>
                <c:pt idx="0">
                  <c:v>非银金融</c:v>
                </c:pt>
              </c:strCache>
            </c:strRef>
          </c:tx>
          <c:spPr>
            <a:solidFill>
              <a:schemeClr val="accent4">
                <a:lumMod val="80000"/>
              </a:schemeClr>
            </a:solidFill>
            <a:ln>
              <a:noFill/>
            </a:ln>
            <a:effectLst/>
          </c:spPr>
          <c:invertIfNegative val="0"/>
          <c:cat>
            <c:strRef>
              <c:f>申万行业月度表现!$B$1</c:f>
              <c:strCache>
                <c:ptCount val="1"/>
                <c:pt idx="0">
                  <c:v>申万一级行业月度涨幅%</c:v>
                </c:pt>
              </c:strCache>
            </c:strRef>
          </c:cat>
          <c:val>
            <c:numRef>
              <c:f>申万行业月度表现!$B$23</c:f>
              <c:numCache>
                <c:formatCode>#,##0.0000</c:formatCode>
                <c:ptCount val="1"/>
                <c:pt idx="0">
                  <c:v>-3.3609</c:v>
                </c:pt>
              </c:numCache>
            </c:numRef>
          </c:val>
          <c:extLst>
            <c:ext xmlns:c16="http://schemas.microsoft.com/office/drawing/2014/chart" uri="{C3380CC4-5D6E-409C-BE32-E72D297353CC}">
              <c16:uniqueId val="{00000015-0DCF-4368-BDDB-9DE405CE5252}"/>
            </c:ext>
          </c:extLst>
        </c:ser>
        <c:ser>
          <c:idx val="22"/>
          <c:order val="22"/>
          <c:tx>
            <c:strRef>
              <c:f>申万行业月度表现!$A$24</c:f>
              <c:strCache>
                <c:ptCount val="1"/>
                <c:pt idx="0">
                  <c:v>交通运输</c:v>
                </c:pt>
              </c:strCache>
            </c:strRef>
          </c:tx>
          <c:spPr>
            <a:solidFill>
              <a:schemeClr val="accent5">
                <a:lumMod val="80000"/>
              </a:schemeClr>
            </a:solidFill>
            <a:ln>
              <a:noFill/>
            </a:ln>
            <a:effectLst/>
          </c:spPr>
          <c:invertIfNegative val="0"/>
          <c:cat>
            <c:strRef>
              <c:f>申万行业月度表现!$B$1</c:f>
              <c:strCache>
                <c:ptCount val="1"/>
                <c:pt idx="0">
                  <c:v>申万一级行业月度涨幅%</c:v>
                </c:pt>
              </c:strCache>
            </c:strRef>
          </c:cat>
          <c:val>
            <c:numRef>
              <c:f>申万行业月度表现!$B$24</c:f>
              <c:numCache>
                <c:formatCode>#,##0.0000</c:formatCode>
                <c:ptCount val="1"/>
                <c:pt idx="0">
                  <c:v>-3.6800999999999999</c:v>
                </c:pt>
              </c:numCache>
            </c:numRef>
          </c:val>
          <c:extLst>
            <c:ext xmlns:c16="http://schemas.microsoft.com/office/drawing/2014/chart" uri="{C3380CC4-5D6E-409C-BE32-E72D297353CC}">
              <c16:uniqueId val="{00000016-0DCF-4368-BDDB-9DE405CE5252}"/>
            </c:ext>
          </c:extLst>
        </c:ser>
        <c:ser>
          <c:idx val="23"/>
          <c:order val="23"/>
          <c:tx>
            <c:strRef>
              <c:f>申万行业月度表现!$A$25</c:f>
              <c:strCache>
                <c:ptCount val="1"/>
                <c:pt idx="0">
                  <c:v>采掘</c:v>
                </c:pt>
              </c:strCache>
            </c:strRef>
          </c:tx>
          <c:spPr>
            <a:solidFill>
              <a:schemeClr val="accent6">
                <a:lumMod val="80000"/>
              </a:schemeClr>
            </a:solidFill>
            <a:ln>
              <a:noFill/>
            </a:ln>
            <a:effectLst/>
          </c:spPr>
          <c:invertIfNegative val="0"/>
          <c:cat>
            <c:strRef>
              <c:f>申万行业月度表现!$B$1</c:f>
              <c:strCache>
                <c:ptCount val="1"/>
                <c:pt idx="0">
                  <c:v>申万一级行业月度涨幅%</c:v>
                </c:pt>
              </c:strCache>
            </c:strRef>
          </c:cat>
          <c:val>
            <c:numRef>
              <c:f>申万行业月度表现!$B$25</c:f>
              <c:numCache>
                <c:formatCode>#,##0.0000</c:formatCode>
                <c:ptCount val="1"/>
                <c:pt idx="0">
                  <c:v>-4.8266</c:v>
                </c:pt>
              </c:numCache>
            </c:numRef>
          </c:val>
          <c:extLst>
            <c:ext xmlns:c16="http://schemas.microsoft.com/office/drawing/2014/chart" uri="{C3380CC4-5D6E-409C-BE32-E72D297353CC}">
              <c16:uniqueId val="{00000017-0DCF-4368-BDDB-9DE405CE5252}"/>
            </c:ext>
          </c:extLst>
        </c:ser>
        <c:ser>
          <c:idx val="24"/>
          <c:order val="24"/>
          <c:tx>
            <c:strRef>
              <c:f>申万行业月度表现!$A$26</c:f>
              <c:strCache>
                <c:ptCount val="1"/>
                <c:pt idx="0">
                  <c:v>房地产</c:v>
                </c:pt>
              </c:strCache>
            </c:strRef>
          </c:tx>
          <c:spPr>
            <a:solidFill>
              <a:schemeClr val="accent1">
                <a:lumMod val="60000"/>
                <a:lumOff val="40000"/>
              </a:schemeClr>
            </a:solidFill>
            <a:ln>
              <a:noFill/>
            </a:ln>
            <a:effectLst/>
          </c:spPr>
          <c:invertIfNegative val="0"/>
          <c:cat>
            <c:strRef>
              <c:f>申万行业月度表现!$B$1</c:f>
              <c:strCache>
                <c:ptCount val="1"/>
                <c:pt idx="0">
                  <c:v>申万一级行业月度涨幅%</c:v>
                </c:pt>
              </c:strCache>
            </c:strRef>
          </c:cat>
          <c:val>
            <c:numRef>
              <c:f>申万行业月度表现!$B$26</c:f>
              <c:numCache>
                <c:formatCode>#,##0.0000</c:formatCode>
                <c:ptCount val="1"/>
                <c:pt idx="0">
                  <c:v>-4.8612000000000002</c:v>
                </c:pt>
              </c:numCache>
            </c:numRef>
          </c:val>
          <c:extLst>
            <c:ext xmlns:c16="http://schemas.microsoft.com/office/drawing/2014/chart" uri="{C3380CC4-5D6E-409C-BE32-E72D297353CC}">
              <c16:uniqueId val="{00000018-0DCF-4368-BDDB-9DE405CE5252}"/>
            </c:ext>
          </c:extLst>
        </c:ser>
        <c:ser>
          <c:idx val="25"/>
          <c:order val="25"/>
          <c:tx>
            <c:strRef>
              <c:f>申万行业月度表现!$A$27</c:f>
              <c:strCache>
                <c:ptCount val="1"/>
                <c:pt idx="0">
                  <c:v>银行</c:v>
                </c:pt>
              </c:strCache>
            </c:strRef>
          </c:tx>
          <c:spPr>
            <a:solidFill>
              <a:schemeClr val="accent2">
                <a:lumMod val="60000"/>
                <a:lumOff val="40000"/>
              </a:schemeClr>
            </a:solidFill>
            <a:ln>
              <a:noFill/>
            </a:ln>
            <a:effectLst/>
          </c:spPr>
          <c:invertIfNegative val="0"/>
          <c:cat>
            <c:strRef>
              <c:f>申万行业月度表现!$B$1</c:f>
              <c:strCache>
                <c:ptCount val="1"/>
                <c:pt idx="0">
                  <c:v>申万一级行业月度涨幅%</c:v>
                </c:pt>
              </c:strCache>
            </c:strRef>
          </c:cat>
          <c:val>
            <c:numRef>
              <c:f>申万行业月度表现!$B$27</c:f>
              <c:numCache>
                <c:formatCode>#,##0.0000</c:formatCode>
                <c:ptCount val="1"/>
                <c:pt idx="0">
                  <c:v>-5.2790999999999997</c:v>
                </c:pt>
              </c:numCache>
            </c:numRef>
          </c:val>
          <c:extLst>
            <c:ext xmlns:c16="http://schemas.microsoft.com/office/drawing/2014/chart" uri="{C3380CC4-5D6E-409C-BE32-E72D297353CC}">
              <c16:uniqueId val="{00000019-0DCF-4368-BDDB-9DE405CE5252}"/>
            </c:ext>
          </c:extLst>
        </c:ser>
        <c:ser>
          <c:idx val="26"/>
          <c:order val="26"/>
          <c:tx>
            <c:strRef>
              <c:f>申万行业月度表现!$A$28</c:f>
              <c:strCache>
                <c:ptCount val="1"/>
                <c:pt idx="0">
                  <c:v>建筑装饰</c:v>
                </c:pt>
              </c:strCache>
            </c:strRef>
          </c:tx>
          <c:spPr>
            <a:solidFill>
              <a:schemeClr val="accent3">
                <a:lumMod val="60000"/>
                <a:lumOff val="40000"/>
              </a:schemeClr>
            </a:solidFill>
            <a:ln>
              <a:noFill/>
            </a:ln>
            <a:effectLst/>
          </c:spPr>
          <c:invertIfNegative val="0"/>
          <c:cat>
            <c:strRef>
              <c:f>申万行业月度表现!$B$1</c:f>
              <c:strCache>
                <c:ptCount val="1"/>
                <c:pt idx="0">
                  <c:v>申万一级行业月度涨幅%</c:v>
                </c:pt>
              </c:strCache>
            </c:strRef>
          </c:cat>
          <c:val>
            <c:numRef>
              <c:f>申万行业月度表现!$B$28</c:f>
              <c:numCache>
                <c:formatCode>#,##0.0000</c:formatCode>
                <c:ptCount val="1"/>
                <c:pt idx="0">
                  <c:v>-5.2816000000000001</c:v>
                </c:pt>
              </c:numCache>
            </c:numRef>
          </c:val>
          <c:extLst>
            <c:ext xmlns:c16="http://schemas.microsoft.com/office/drawing/2014/chart" uri="{C3380CC4-5D6E-409C-BE32-E72D297353CC}">
              <c16:uniqueId val="{0000001A-0DCF-4368-BDDB-9DE405CE5252}"/>
            </c:ext>
          </c:extLst>
        </c:ser>
        <c:ser>
          <c:idx val="27"/>
          <c:order val="27"/>
          <c:tx>
            <c:strRef>
              <c:f>申万行业月度表现!$A$29</c:f>
              <c:strCache>
                <c:ptCount val="1"/>
                <c:pt idx="0">
                  <c:v>钢铁</c:v>
                </c:pt>
              </c:strCache>
            </c:strRef>
          </c:tx>
          <c:spPr>
            <a:solidFill>
              <a:schemeClr val="accent4">
                <a:lumMod val="60000"/>
                <a:lumOff val="40000"/>
              </a:schemeClr>
            </a:solidFill>
            <a:ln>
              <a:noFill/>
            </a:ln>
            <a:effectLst/>
          </c:spPr>
          <c:invertIfNegative val="0"/>
          <c:cat>
            <c:strRef>
              <c:f>申万行业月度表现!$B$1</c:f>
              <c:strCache>
                <c:ptCount val="1"/>
                <c:pt idx="0">
                  <c:v>申万一级行业月度涨幅%</c:v>
                </c:pt>
              </c:strCache>
            </c:strRef>
          </c:cat>
          <c:val>
            <c:numRef>
              <c:f>申万行业月度表现!$B$29</c:f>
              <c:numCache>
                <c:formatCode>#,##0.0000</c:formatCode>
                <c:ptCount val="1"/>
                <c:pt idx="0">
                  <c:v>-5.5570000000000004</c:v>
                </c:pt>
              </c:numCache>
            </c:numRef>
          </c:val>
          <c:extLst>
            <c:ext xmlns:c16="http://schemas.microsoft.com/office/drawing/2014/chart" uri="{C3380CC4-5D6E-409C-BE32-E72D297353CC}">
              <c16:uniqueId val="{0000001B-0DCF-4368-BDDB-9DE405CE5252}"/>
            </c:ext>
          </c:extLst>
        </c:ser>
        <c:dLbls>
          <c:showLegendKey val="0"/>
          <c:showVal val="0"/>
          <c:showCatName val="0"/>
          <c:showSerName val="0"/>
          <c:showPercent val="0"/>
          <c:showBubbleSize val="0"/>
        </c:dLbls>
        <c:gapWidth val="219"/>
        <c:overlap val="-27"/>
        <c:axId val="195442512"/>
        <c:axId val="195443072"/>
      </c:barChart>
      <c:catAx>
        <c:axId val="19544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443072"/>
        <c:crosses val="autoZero"/>
        <c:auto val="1"/>
        <c:lblAlgn val="ctr"/>
        <c:lblOffset val="100"/>
        <c:noMultiLvlLbl val="0"/>
      </c:catAx>
      <c:valAx>
        <c:axId val="195443072"/>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442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1463</TotalTime>
  <Pages>5</Pages>
  <Words>342</Words>
  <Characters>1954</Characters>
  <Application>Microsoft Office Word</Application>
  <DocSecurity>0</DocSecurity>
  <Lines>16</Lines>
  <Paragraphs>4</Paragraphs>
  <ScaleCrop>false</ScaleCrop>
  <Company>MS</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投资策略月度报告 （2019年1月31日）</dc:title>
  <dc:creator>postone-02</dc:creator>
  <cp:lastModifiedBy>postone01</cp:lastModifiedBy>
  <cp:revision>150</cp:revision>
  <cp:lastPrinted>2019-08-04T07:44:00Z</cp:lastPrinted>
  <dcterms:created xsi:type="dcterms:W3CDTF">2019-08-03T11:36:00Z</dcterms:created>
  <dcterms:modified xsi:type="dcterms:W3CDTF">2019-09-03T08:53:00Z</dcterms:modified>
</cp:coreProperties>
</file>