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17" w:rsidRPr="00B0577D" w:rsidRDefault="00B46D8D" w:rsidP="00C32BE0">
      <w:pPr>
        <w:spacing w:line="480" w:lineRule="auto"/>
        <w:rPr>
          <w:rFonts w:asciiTheme="minorEastAsia" w:hAnsiTheme="minorEastAsia"/>
          <w:b/>
          <w:bCs/>
          <w:sz w:val="30"/>
          <w:szCs w:val="30"/>
        </w:rPr>
      </w:pPr>
      <w:r>
        <w:rPr>
          <w:rFonts w:asciiTheme="minorEastAsia" w:hAnsiTheme="minorEastAsia"/>
          <w:noProof/>
          <w:position w:val="-13"/>
          <w:sz w:val="30"/>
          <w:szCs w:val="30"/>
        </w:rPr>
      </w:r>
      <w:r>
        <w:rPr>
          <w:rFonts w:asciiTheme="minorEastAsia" w:hAnsiTheme="minorEastAsia"/>
          <w:noProof/>
          <w:position w:val="-13"/>
          <w:sz w:val="30"/>
          <w:szCs w:val="30"/>
        </w:rPr>
        <w:pict>
          <v:shapetype id="_x0000_t202" coordsize="21600,21600" o:spt="202" path="m,l,21600r21600,l21600,xe">
            <v:stroke joinstyle="miter"/>
            <v:path gradientshapeok="t" o:connecttype="rect"/>
          </v:shapetype>
          <v:shape id="文本框 4" o:spid="_x0000_s1027" type="#_x0000_t202" style="width:410.25pt;height:34.5pt;visibility:visible;mso-left-percent:-10001;mso-top-percent:-10001;mso-position-horizontal:absolute;mso-position-horizontal-relative:char;mso-position-vertical:absolute;mso-position-vertical-relative:line;mso-left-percent:-10001;mso-top-percent:-10001" fillcolor="#7e7e7e" stroked="f">
            <v:textbox inset="0,0,0,0">
              <w:txbxContent>
                <w:p w:rsidR="002F4817" w:rsidRPr="00C55D71" w:rsidRDefault="002F4817" w:rsidP="002F4817">
                  <w:pPr>
                    <w:spacing w:before="83"/>
                    <w:ind w:left="1"/>
                    <w:jc w:val="center"/>
                    <w:rPr>
                      <w:rFonts w:ascii="微软雅黑" w:eastAsia="微软雅黑" w:hAnsi="微软雅黑" w:cs="微软雅黑"/>
                      <w:b/>
                      <w:bCs/>
                      <w:i/>
                      <w:color w:val="FFFFFF"/>
                      <w:w w:val="96"/>
                      <w:sz w:val="36"/>
                      <w:szCs w:val="36"/>
                    </w:rPr>
                  </w:pPr>
                  <w:r w:rsidRPr="00C55D71">
                    <w:rPr>
                      <w:rFonts w:ascii="微软雅黑" w:eastAsia="微软雅黑" w:hAnsi="微软雅黑" w:cs="微软雅黑"/>
                      <w:b/>
                      <w:bCs/>
                      <w:i/>
                      <w:color w:val="FFFFFF"/>
                      <w:w w:val="96"/>
                      <w:sz w:val="36"/>
                      <w:szCs w:val="36"/>
                    </w:rPr>
                    <w:t>市场回顾</w:t>
                  </w:r>
                  <w:r w:rsidRPr="00C55D71">
                    <w:rPr>
                      <w:rFonts w:ascii="微软雅黑" w:eastAsia="微软雅黑" w:hAnsi="微软雅黑" w:cs="微软雅黑" w:hint="eastAsia"/>
                      <w:b/>
                      <w:bCs/>
                      <w:i/>
                      <w:color w:val="FFFFFF"/>
                      <w:w w:val="96"/>
                      <w:sz w:val="36"/>
                      <w:szCs w:val="36"/>
                    </w:rPr>
                    <w:t>及宏观</w:t>
                  </w:r>
                </w:p>
              </w:txbxContent>
            </v:textbox>
            <w10:wrap type="none"/>
            <w10:anchorlock/>
          </v:shape>
        </w:pict>
      </w:r>
    </w:p>
    <w:p w:rsidR="00D64E22" w:rsidRPr="00D64E22" w:rsidRDefault="00FB36F0" w:rsidP="00270615">
      <w:pPr>
        <w:spacing w:line="480" w:lineRule="auto"/>
        <w:ind w:firstLineChars="200" w:firstLine="602"/>
        <w:jc w:val="center"/>
        <w:rPr>
          <w:rFonts w:asciiTheme="minorEastAsia" w:hAnsiTheme="minorEastAsia"/>
          <w:color w:val="000000" w:themeColor="text1"/>
          <w:sz w:val="30"/>
          <w:szCs w:val="30"/>
          <w:shd w:val="clear" w:color="auto" w:fill="FFFFFF"/>
        </w:rPr>
      </w:pPr>
      <w:r w:rsidRPr="00C32BE0">
        <w:rPr>
          <w:rFonts w:asciiTheme="minorEastAsia" w:hAnsiTheme="minorEastAsia" w:hint="eastAsia"/>
          <w:b/>
          <w:color w:val="000000" w:themeColor="text1"/>
          <w:sz w:val="30"/>
          <w:szCs w:val="30"/>
          <w:shd w:val="clear" w:color="auto" w:fill="FFFFFF"/>
        </w:rPr>
        <w:t>本</w:t>
      </w:r>
      <w:r w:rsidR="00713BE5" w:rsidRPr="00C32BE0">
        <w:rPr>
          <w:rFonts w:asciiTheme="minorEastAsia" w:hAnsiTheme="minorEastAsia" w:hint="eastAsia"/>
          <w:b/>
          <w:color w:val="000000" w:themeColor="text1"/>
          <w:sz w:val="30"/>
          <w:szCs w:val="30"/>
          <w:shd w:val="clear" w:color="auto" w:fill="FFFFFF"/>
        </w:rPr>
        <w:t>月</w:t>
      </w:r>
      <w:r w:rsidR="00270615" w:rsidRPr="00C32BE0">
        <w:rPr>
          <w:rFonts w:asciiTheme="minorEastAsia" w:hAnsiTheme="minorEastAsia" w:hint="eastAsia"/>
          <w:b/>
          <w:color w:val="000000" w:themeColor="text1"/>
          <w:sz w:val="30"/>
          <w:szCs w:val="30"/>
          <w:shd w:val="clear" w:color="auto" w:fill="FFFFFF"/>
        </w:rPr>
        <w:t>A股市场</w:t>
      </w:r>
      <w:r w:rsidR="00713BE5" w:rsidRPr="00C32BE0">
        <w:rPr>
          <w:rFonts w:asciiTheme="minorEastAsia" w:hAnsiTheme="minorEastAsia" w:hint="eastAsia"/>
          <w:b/>
          <w:color w:val="000000" w:themeColor="text1"/>
          <w:sz w:val="30"/>
          <w:szCs w:val="30"/>
          <w:shd w:val="clear" w:color="auto" w:fill="FFFFFF"/>
        </w:rPr>
        <w:t>在</w:t>
      </w:r>
      <w:r w:rsidR="00270615" w:rsidRPr="00C32BE0">
        <w:rPr>
          <w:rFonts w:asciiTheme="minorEastAsia" w:hAnsiTheme="minorEastAsia" w:hint="eastAsia"/>
          <w:b/>
          <w:color w:val="000000" w:themeColor="text1"/>
          <w:sz w:val="30"/>
          <w:szCs w:val="30"/>
          <w:shd w:val="clear" w:color="auto" w:fill="FFFFFF"/>
        </w:rPr>
        <w:t>区间震荡。</w:t>
      </w:r>
      <w:r w:rsidR="00270615" w:rsidRPr="00270615">
        <w:rPr>
          <w:rFonts w:asciiTheme="minorEastAsia" w:hAnsiTheme="minorEastAsia" w:hint="eastAsia"/>
          <w:color w:val="000000" w:themeColor="text1"/>
          <w:sz w:val="30"/>
          <w:szCs w:val="30"/>
          <w:shd w:val="clear" w:color="auto" w:fill="FFFFFF"/>
        </w:rPr>
        <w:t>截止7月31日收盘，上证指数收报2932.</w:t>
      </w:r>
      <w:r w:rsidR="00D64E22" w:rsidRPr="00270615">
        <w:rPr>
          <w:rFonts w:asciiTheme="minorEastAsia" w:hAnsiTheme="minorEastAsia" w:hint="eastAsia"/>
          <w:color w:val="000000" w:themeColor="text1"/>
          <w:sz w:val="30"/>
          <w:szCs w:val="30"/>
          <w:shd w:val="clear" w:color="auto" w:fill="FFFFFF"/>
        </w:rPr>
        <w:t>5</w:t>
      </w:r>
      <w:r w:rsidR="00270615" w:rsidRPr="00270615">
        <w:rPr>
          <w:rFonts w:asciiTheme="minorEastAsia" w:hAnsiTheme="minorEastAsia" w:hint="eastAsia"/>
          <w:color w:val="000000" w:themeColor="text1"/>
          <w:sz w:val="30"/>
          <w:szCs w:val="30"/>
          <w:shd w:val="clear" w:color="auto" w:fill="FFFFFF"/>
        </w:rPr>
        <w:t>1点，涨幅为-1.5</w:t>
      </w:r>
      <w:r w:rsidR="001C2E5A">
        <w:rPr>
          <w:rFonts w:asciiTheme="minorEastAsia" w:hAnsiTheme="minorEastAsia" w:hint="eastAsia"/>
          <w:color w:val="000000" w:themeColor="text1"/>
          <w:sz w:val="30"/>
          <w:szCs w:val="30"/>
          <w:shd w:val="clear" w:color="auto" w:fill="FFFFFF"/>
        </w:rPr>
        <w:t>7</w:t>
      </w:r>
      <w:r w:rsidR="00270615" w:rsidRPr="00270615">
        <w:rPr>
          <w:rFonts w:asciiTheme="minorEastAsia" w:hAnsiTheme="minorEastAsia" w:hint="eastAsia"/>
          <w:color w:val="000000" w:themeColor="text1"/>
          <w:sz w:val="30"/>
          <w:szCs w:val="30"/>
          <w:shd w:val="clear" w:color="auto" w:fill="FFFFFF"/>
        </w:rPr>
        <w:t>%，中小板指数</w:t>
      </w:r>
      <w:r w:rsidR="001C2E5A">
        <w:rPr>
          <w:rFonts w:asciiTheme="minorEastAsia" w:hAnsiTheme="minorEastAsia" w:hint="eastAsia"/>
          <w:color w:val="000000" w:themeColor="text1"/>
          <w:sz w:val="30"/>
          <w:szCs w:val="30"/>
          <w:shd w:val="clear" w:color="auto" w:fill="FFFFFF"/>
        </w:rPr>
        <w:t>收报</w:t>
      </w:r>
      <w:r w:rsidR="00270615" w:rsidRPr="00270615">
        <w:rPr>
          <w:rFonts w:asciiTheme="minorEastAsia" w:hAnsiTheme="minorEastAsia" w:hint="eastAsia"/>
          <w:color w:val="000000" w:themeColor="text1"/>
          <w:sz w:val="30"/>
          <w:szCs w:val="30"/>
          <w:shd w:val="clear" w:color="auto" w:fill="FFFFFF"/>
        </w:rPr>
        <w:t>5794.71，</w:t>
      </w:r>
    </w:p>
    <w:p w:rsidR="002C45FD" w:rsidRDefault="00270615" w:rsidP="002C45FD">
      <w:pPr>
        <w:spacing w:line="480" w:lineRule="auto"/>
        <w:rPr>
          <w:rFonts w:asciiTheme="minorEastAsia" w:hAnsiTheme="minorEastAsia"/>
          <w:color w:val="000000" w:themeColor="text1"/>
          <w:sz w:val="30"/>
          <w:szCs w:val="30"/>
          <w:shd w:val="clear" w:color="auto" w:fill="FFFFFF"/>
        </w:rPr>
      </w:pPr>
      <w:r w:rsidRPr="00270615">
        <w:rPr>
          <w:rFonts w:asciiTheme="minorEastAsia" w:hAnsiTheme="minorEastAsia" w:hint="eastAsia"/>
          <w:color w:val="000000" w:themeColor="text1"/>
          <w:sz w:val="30"/>
          <w:szCs w:val="30"/>
          <w:shd w:val="clear" w:color="auto" w:fill="FFFFFF"/>
        </w:rPr>
        <w:t>涨幅为2.04%，创业板指收报1570.39，涨幅为3.89%。</w:t>
      </w:r>
    </w:p>
    <w:p w:rsidR="002F4817" w:rsidRPr="00B0577D" w:rsidRDefault="002F4817" w:rsidP="002D249F">
      <w:pPr>
        <w:spacing w:line="480" w:lineRule="auto"/>
        <w:jc w:val="center"/>
        <w:rPr>
          <w:rFonts w:asciiTheme="minorEastAsia" w:hAnsiTheme="minorEastAsia"/>
          <w:sz w:val="28"/>
          <w:szCs w:val="28"/>
        </w:rPr>
      </w:pPr>
      <w:r w:rsidRPr="00B0577D">
        <w:rPr>
          <w:rFonts w:asciiTheme="minorEastAsia" w:hAnsiTheme="minorEastAsia" w:hint="eastAsia"/>
          <w:sz w:val="28"/>
          <w:szCs w:val="28"/>
        </w:rPr>
        <w:t>图1：A股</w:t>
      </w:r>
      <w:r w:rsidRPr="00B0577D">
        <w:rPr>
          <w:rFonts w:asciiTheme="minorEastAsia" w:hAnsiTheme="minorEastAsia"/>
          <w:sz w:val="28"/>
          <w:szCs w:val="28"/>
        </w:rPr>
        <w:t>市场</w:t>
      </w:r>
      <w:r w:rsidR="00FB36F0">
        <w:rPr>
          <w:rFonts w:asciiTheme="minorEastAsia" w:hAnsiTheme="minorEastAsia" w:hint="eastAsia"/>
          <w:sz w:val="28"/>
          <w:szCs w:val="28"/>
        </w:rPr>
        <w:t>本</w:t>
      </w:r>
      <w:r w:rsidRPr="00B0577D">
        <w:rPr>
          <w:rFonts w:asciiTheme="minorEastAsia" w:hAnsiTheme="minorEastAsia" w:hint="eastAsia"/>
          <w:sz w:val="28"/>
          <w:szCs w:val="28"/>
        </w:rPr>
        <w:t>月</w:t>
      </w:r>
      <w:r w:rsidRPr="00B0577D">
        <w:rPr>
          <w:rFonts w:asciiTheme="minorEastAsia" w:hAnsiTheme="minorEastAsia"/>
          <w:sz w:val="28"/>
          <w:szCs w:val="28"/>
        </w:rPr>
        <w:t>总体表现</w:t>
      </w:r>
      <w:bookmarkStart w:id="0" w:name="_GoBack"/>
      <w:bookmarkEnd w:id="0"/>
    </w:p>
    <w:tbl>
      <w:tblPr>
        <w:tblW w:w="8500" w:type="dxa"/>
        <w:jc w:val="center"/>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664"/>
        <w:gridCol w:w="2410"/>
        <w:gridCol w:w="2830"/>
      </w:tblGrid>
      <w:tr w:rsidR="002F4817" w:rsidRPr="00B0577D" w:rsidTr="00F76B94">
        <w:trPr>
          <w:trHeight w:val="402"/>
          <w:jc w:val="center"/>
        </w:trPr>
        <w:tc>
          <w:tcPr>
            <w:tcW w:w="1596" w:type="dxa"/>
            <w:tcBorders>
              <w:top w:val="single" w:sz="4" w:space="0" w:color="auto"/>
            </w:tcBorders>
            <w:shd w:val="clear" w:color="000000" w:fill="FF6600"/>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指数</w:t>
            </w:r>
          </w:p>
        </w:tc>
        <w:tc>
          <w:tcPr>
            <w:tcW w:w="1664" w:type="dxa"/>
            <w:tcBorders>
              <w:top w:val="single" w:sz="4" w:space="0" w:color="auto"/>
            </w:tcBorders>
            <w:shd w:val="clear" w:color="000000" w:fill="FF6600"/>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收盘价</w:t>
            </w:r>
          </w:p>
        </w:tc>
        <w:tc>
          <w:tcPr>
            <w:tcW w:w="2410" w:type="dxa"/>
            <w:tcBorders>
              <w:top w:val="single" w:sz="4" w:space="0" w:color="auto"/>
            </w:tcBorders>
            <w:shd w:val="clear" w:color="000000" w:fill="FF6600"/>
            <w:noWrap/>
            <w:vAlign w:val="bottom"/>
            <w:hideMark/>
          </w:tcPr>
          <w:p w:rsidR="002F4817" w:rsidRPr="00B0577D" w:rsidRDefault="008B34CB" w:rsidP="00B0577D">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7</w:t>
            </w:r>
            <w:r w:rsidR="002F4817" w:rsidRPr="00B0577D">
              <w:rPr>
                <w:rFonts w:asciiTheme="minorEastAsia" w:hAnsiTheme="minorEastAsia" w:cs="宋体" w:hint="eastAsia"/>
                <w:color w:val="000000"/>
                <w:sz w:val="30"/>
                <w:szCs w:val="30"/>
              </w:rPr>
              <w:t>月涨幅(%)</w:t>
            </w:r>
          </w:p>
        </w:tc>
        <w:tc>
          <w:tcPr>
            <w:tcW w:w="2830" w:type="dxa"/>
            <w:tcBorders>
              <w:top w:val="single" w:sz="4" w:space="0" w:color="auto"/>
            </w:tcBorders>
            <w:shd w:val="clear" w:color="000000" w:fill="FF6600"/>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今年</w:t>
            </w:r>
            <w:r w:rsidRPr="00B0577D">
              <w:rPr>
                <w:rFonts w:asciiTheme="minorEastAsia" w:hAnsiTheme="minorEastAsia" w:cs="宋体"/>
                <w:color w:val="000000"/>
                <w:sz w:val="30"/>
                <w:szCs w:val="30"/>
              </w:rPr>
              <w:t>以来涨幅</w:t>
            </w:r>
            <w:r w:rsidRPr="00B0577D">
              <w:rPr>
                <w:rFonts w:asciiTheme="minorEastAsia" w:hAnsiTheme="minorEastAsia" w:cs="宋体" w:hint="eastAsia"/>
                <w:color w:val="000000"/>
                <w:sz w:val="30"/>
                <w:szCs w:val="30"/>
              </w:rPr>
              <w:t>（%）</w:t>
            </w:r>
          </w:p>
        </w:tc>
      </w:tr>
      <w:tr w:rsidR="002F4817" w:rsidRPr="00B0577D" w:rsidTr="00F76B94">
        <w:trPr>
          <w:trHeight w:val="402"/>
          <w:jc w:val="center"/>
        </w:trPr>
        <w:tc>
          <w:tcPr>
            <w:tcW w:w="1596" w:type="dxa"/>
            <w:tcBorders>
              <w:top w:val="single" w:sz="4" w:space="0" w:color="auto"/>
            </w:tcBorders>
            <w:shd w:val="clear" w:color="000000" w:fill="FCD5B4"/>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上证指数</w:t>
            </w:r>
          </w:p>
        </w:tc>
        <w:tc>
          <w:tcPr>
            <w:tcW w:w="1664" w:type="dxa"/>
            <w:tcBorders>
              <w:top w:val="single" w:sz="4" w:space="0" w:color="auto"/>
            </w:tcBorders>
            <w:shd w:val="clear" w:color="000000" w:fill="FCD5B4"/>
            <w:noWrap/>
            <w:vAlign w:val="bottom"/>
            <w:hideMark/>
          </w:tcPr>
          <w:p w:rsidR="002F4817" w:rsidRPr="00B0577D" w:rsidRDefault="002F4817" w:rsidP="001C2E5A">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2</w:t>
            </w:r>
            <w:r w:rsidR="001C2E5A">
              <w:rPr>
                <w:rFonts w:asciiTheme="minorEastAsia" w:hAnsiTheme="minorEastAsia" w:cs="宋体" w:hint="eastAsia"/>
                <w:color w:val="000000"/>
                <w:sz w:val="30"/>
                <w:szCs w:val="30"/>
              </w:rPr>
              <w:t>932.</w:t>
            </w:r>
            <w:r w:rsidR="00F9219B">
              <w:rPr>
                <w:rFonts w:asciiTheme="minorEastAsia" w:hAnsiTheme="minorEastAsia" w:cs="宋体" w:hint="eastAsia"/>
                <w:color w:val="000000"/>
                <w:sz w:val="30"/>
                <w:szCs w:val="30"/>
              </w:rPr>
              <w:t>5</w:t>
            </w:r>
            <w:r w:rsidR="001C2E5A">
              <w:rPr>
                <w:rFonts w:asciiTheme="minorEastAsia" w:hAnsiTheme="minorEastAsia" w:cs="宋体" w:hint="eastAsia"/>
                <w:color w:val="000000"/>
                <w:sz w:val="30"/>
                <w:szCs w:val="30"/>
              </w:rPr>
              <w:t>1</w:t>
            </w:r>
          </w:p>
        </w:tc>
        <w:tc>
          <w:tcPr>
            <w:tcW w:w="2410" w:type="dxa"/>
            <w:shd w:val="clear" w:color="000000" w:fill="FCD5B4"/>
            <w:noWrap/>
            <w:vAlign w:val="bottom"/>
            <w:hideMark/>
          </w:tcPr>
          <w:p w:rsidR="002F4817" w:rsidRPr="00B0577D" w:rsidRDefault="00D961D8" w:rsidP="00B0577D">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-1.5</w:t>
            </w:r>
            <w:r w:rsidR="004D551C">
              <w:rPr>
                <w:rFonts w:asciiTheme="minorEastAsia" w:hAnsiTheme="minorEastAsia" w:cs="宋体" w:hint="eastAsia"/>
                <w:color w:val="000000"/>
                <w:sz w:val="30"/>
                <w:szCs w:val="30"/>
              </w:rPr>
              <w:t>7</w:t>
            </w:r>
          </w:p>
        </w:tc>
        <w:tc>
          <w:tcPr>
            <w:tcW w:w="2830" w:type="dxa"/>
            <w:shd w:val="clear" w:color="000000" w:fill="FCD5B4"/>
          </w:tcPr>
          <w:p w:rsidR="002F4817" w:rsidRPr="00B0577D" w:rsidRDefault="004D551C" w:rsidP="00B0577D">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17.57</w:t>
            </w:r>
          </w:p>
        </w:tc>
      </w:tr>
      <w:tr w:rsidR="002F4817" w:rsidRPr="00B0577D" w:rsidTr="00F76B94">
        <w:trPr>
          <w:trHeight w:val="402"/>
          <w:jc w:val="center"/>
        </w:trPr>
        <w:tc>
          <w:tcPr>
            <w:tcW w:w="1596" w:type="dxa"/>
            <w:tcBorders>
              <w:top w:val="single" w:sz="4" w:space="0" w:color="auto"/>
            </w:tcBorders>
            <w:shd w:val="clear" w:color="000000" w:fill="FCD5B4"/>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中小板指</w:t>
            </w:r>
          </w:p>
        </w:tc>
        <w:tc>
          <w:tcPr>
            <w:tcW w:w="1664" w:type="dxa"/>
            <w:tcBorders>
              <w:top w:val="single" w:sz="4" w:space="0" w:color="auto"/>
            </w:tcBorders>
            <w:shd w:val="clear" w:color="000000" w:fill="FCD5B4"/>
            <w:noWrap/>
            <w:vAlign w:val="bottom"/>
            <w:hideMark/>
          </w:tcPr>
          <w:p w:rsidR="002F4817" w:rsidRPr="00B0577D" w:rsidRDefault="001C2E5A" w:rsidP="00B0577D">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5794.71</w:t>
            </w:r>
          </w:p>
        </w:tc>
        <w:tc>
          <w:tcPr>
            <w:tcW w:w="2410" w:type="dxa"/>
            <w:shd w:val="clear" w:color="000000" w:fill="FCD5B4"/>
            <w:noWrap/>
            <w:vAlign w:val="bottom"/>
            <w:hideMark/>
          </w:tcPr>
          <w:p w:rsidR="002F4817" w:rsidRPr="00B0577D" w:rsidRDefault="00125393" w:rsidP="00D961D8">
            <w:pPr>
              <w:spacing w:line="480" w:lineRule="auto"/>
              <w:jc w:val="center"/>
              <w:rPr>
                <w:rFonts w:asciiTheme="minorEastAsia" w:hAnsiTheme="minorEastAsia" w:cs="宋体"/>
                <w:color w:val="000000"/>
                <w:sz w:val="30"/>
                <w:szCs w:val="30"/>
              </w:rPr>
            </w:pPr>
            <w:r>
              <w:rPr>
                <w:rFonts w:asciiTheme="minorEastAsia" w:hAnsiTheme="minorEastAsia" w:cs="宋体"/>
                <w:color w:val="000000"/>
                <w:sz w:val="30"/>
                <w:szCs w:val="30"/>
              </w:rPr>
              <w:t>2.</w:t>
            </w:r>
            <w:r w:rsidR="00D961D8">
              <w:rPr>
                <w:rFonts w:asciiTheme="minorEastAsia" w:hAnsiTheme="minorEastAsia" w:cs="宋体" w:hint="eastAsia"/>
                <w:color w:val="000000"/>
                <w:sz w:val="30"/>
                <w:szCs w:val="30"/>
              </w:rPr>
              <w:t>0</w:t>
            </w:r>
            <w:r>
              <w:rPr>
                <w:rFonts w:asciiTheme="minorEastAsia" w:hAnsiTheme="minorEastAsia" w:cs="宋体"/>
                <w:color w:val="000000"/>
                <w:sz w:val="30"/>
                <w:szCs w:val="30"/>
              </w:rPr>
              <w:t>4</w:t>
            </w:r>
          </w:p>
        </w:tc>
        <w:tc>
          <w:tcPr>
            <w:tcW w:w="2830" w:type="dxa"/>
            <w:shd w:val="clear" w:color="000000" w:fill="FCD5B4"/>
          </w:tcPr>
          <w:p w:rsidR="002F4817" w:rsidRPr="00B0577D" w:rsidRDefault="00125393" w:rsidP="00B0577D">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2</w:t>
            </w:r>
            <w:r w:rsidR="004D551C">
              <w:rPr>
                <w:rFonts w:asciiTheme="minorEastAsia" w:hAnsiTheme="minorEastAsia" w:cs="宋体" w:hint="eastAsia"/>
                <w:color w:val="000000"/>
                <w:sz w:val="30"/>
                <w:szCs w:val="30"/>
              </w:rPr>
              <w:t>3.21</w:t>
            </w:r>
          </w:p>
        </w:tc>
      </w:tr>
      <w:tr w:rsidR="002F4817" w:rsidRPr="00B0577D" w:rsidTr="00F76B94">
        <w:trPr>
          <w:trHeight w:val="402"/>
          <w:jc w:val="center"/>
        </w:trPr>
        <w:tc>
          <w:tcPr>
            <w:tcW w:w="1596" w:type="dxa"/>
            <w:tcBorders>
              <w:top w:val="single" w:sz="4" w:space="0" w:color="auto"/>
            </w:tcBorders>
            <w:shd w:val="clear" w:color="000000" w:fill="FCD5B4"/>
            <w:noWrap/>
            <w:vAlign w:val="bottom"/>
            <w:hideMark/>
          </w:tcPr>
          <w:p w:rsidR="002F4817" w:rsidRPr="00B0577D" w:rsidRDefault="002F4817" w:rsidP="00B0577D">
            <w:pPr>
              <w:spacing w:line="480" w:lineRule="auto"/>
              <w:jc w:val="center"/>
              <w:rPr>
                <w:rFonts w:asciiTheme="minorEastAsia" w:hAnsiTheme="minorEastAsia" w:cs="宋体"/>
                <w:color w:val="000000"/>
                <w:sz w:val="30"/>
                <w:szCs w:val="30"/>
              </w:rPr>
            </w:pPr>
            <w:r w:rsidRPr="00B0577D">
              <w:rPr>
                <w:rFonts w:asciiTheme="minorEastAsia" w:hAnsiTheme="minorEastAsia" w:cs="宋体" w:hint="eastAsia"/>
                <w:color w:val="000000"/>
                <w:sz w:val="30"/>
                <w:szCs w:val="30"/>
              </w:rPr>
              <w:t>创业板指</w:t>
            </w:r>
          </w:p>
        </w:tc>
        <w:tc>
          <w:tcPr>
            <w:tcW w:w="1664" w:type="dxa"/>
            <w:tcBorders>
              <w:top w:val="single" w:sz="4" w:space="0" w:color="auto"/>
            </w:tcBorders>
            <w:shd w:val="clear" w:color="000000" w:fill="FCD5B4"/>
            <w:noWrap/>
            <w:vAlign w:val="bottom"/>
            <w:hideMark/>
          </w:tcPr>
          <w:p w:rsidR="002F4817" w:rsidRPr="00B0577D" w:rsidRDefault="001C2E5A" w:rsidP="00B0577D">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1570.39</w:t>
            </w:r>
          </w:p>
        </w:tc>
        <w:tc>
          <w:tcPr>
            <w:tcW w:w="2410" w:type="dxa"/>
            <w:shd w:val="clear" w:color="000000" w:fill="FCD5B4"/>
            <w:noWrap/>
            <w:vAlign w:val="bottom"/>
            <w:hideMark/>
          </w:tcPr>
          <w:p w:rsidR="002F4817" w:rsidRPr="00B0577D" w:rsidRDefault="00D961D8" w:rsidP="00B0577D">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3.89</w:t>
            </w:r>
          </w:p>
        </w:tc>
        <w:tc>
          <w:tcPr>
            <w:tcW w:w="2830" w:type="dxa"/>
            <w:shd w:val="clear" w:color="000000" w:fill="FCD5B4"/>
          </w:tcPr>
          <w:p w:rsidR="002F4817" w:rsidRPr="00B0577D" w:rsidRDefault="004D551C" w:rsidP="00125393">
            <w:pPr>
              <w:spacing w:line="480" w:lineRule="auto"/>
              <w:jc w:val="center"/>
              <w:rPr>
                <w:rFonts w:asciiTheme="minorEastAsia" w:hAnsiTheme="minorEastAsia" w:cs="宋体"/>
                <w:color w:val="000000"/>
                <w:sz w:val="30"/>
                <w:szCs w:val="30"/>
              </w:rPr>
            </w:pPr>
            <w:r>
              <w:rPr>
                <w:rFonts w:asciiTheme="minorEastAsia" w:hAnsiTheme="minorEastAsia" w:cs="宋体" w:hint="eastAsia"/>
                <w:color w:val="000000"/>
                <w:sz w:val="30"/>
                <w:szCs w:val="30"/>
              </w:rPr>
              <w:t>25.58</w:t>
            </w:r>
          </w:p>
        </w:tc>
      </w:tr>
    </w:tbl>
    <w:p w:rsidR="005B007A" w:rsidRPr="00B0577D" w:rsidRDefault="005B007A" w:rsidP="00B0577D">
      <w:pPr>
        <w:spacing w:line="480" w:lineRule="auto"/>
        <w:ind w:firstLineChars="200" w:firstLine="600"/>
        <w:rPr>
          <w:rFonts w:asciiTheme="minorEastAsia" w:hAnsiTheme="minorEastAsia"/>
          <w:color w:val="000000" w:themeColor="text1"/>
          <w:sz w:val="30"/>
          <w:szCs w:val="30"/>
          <w:shd w:val="clear" w:color="auto" w:fill="FFFFFF"/>
        </w:rPr>
      </w:pPr>
    </w:p>
    <w:p w:rsidR="002F4817" w:rsidRPr="00B0577D" w:rsidRDefault="002F4817" w:rsidP="00B0577D">
      <w:pPr>
        <w:spacing w:line="480" w:lineRule="auto"/>
        <w:ind w:firstLineChars="200" w:firstLine="600"/>
        <w:rPr>
          <w:rFonts w:asciiTheme="minorEastAsia" w:hAnsiTheme="minorEastAsia"/>
          <w:color w:val="000000" w:themeColor="text1"/>
          <w:sz w:val="30"/>
          <w:szCs w:val="30"/>
          <w:shd w:val="clear" w:color="auto" w:fill="FFFFFF"/>
        </w:rPr>
      </w:pPr>
      <w:r w:rsidRPr="00B0577D">
        <w:rPr>
          <w:rFonts w:asciiTheme="minorEastAsia" w:hAnsiTheme="minorEastAsia" w:hint="eastAsia"/>
          <w:color w:val="000000" w:themeColor="text1"/>
          <w:sz w:val="30"/>
          <w:szCs w:val="30"/>
          <w:shd w:val="clear" w:color="auto" w:fill="FFFFFF"/>
        </w:rPr>
        <w:t>细分到</w:t>
      </w:r>
      <w:r w:rsidR="00C54D0D">
        <w:rPr>
          <w:rFonts w:asciiTheme="minorEastAsia" w:hAnsiTheme="minorEastAsia" w:hint="eastAsia"/>
          <w:color w:val="000000" w:themeColor="text1"/>
          <w:sz w:val="30"/>
          <w:szCs w:val="30"/>
          <w:shd w:val="clear" w:color="auto" w:fill="FFFFFF"/>
        </w:rPr>
        <w:t>申万一级行业</w:t>
      </w:r>
      <w:r w:rsidRPr="00B0577D">
        <w:rPr>
          <w:rFonts w:asciiTheme="minorEastAsia" w:hAnsiTheme="minorEastAsia"/>
          <w:color w:val="000000" w:themeColor="text1"/>
          <w:sz w:val="30"/>
          <w:szCs w:val="30"/>
          <w:shd w:val="clear" w:color="auto" w:fill="FFFFFF"/>
        </w:rPr>
        <w:t>上，</w:t>
      </w:r>
      <w:r w:rsidR="00C54D0D">
        <w:rPr>
          <w:rFonts w:asciiTheme="minorEastAsia" w:hAnsiTheme="minorEastAsia" w:hint="eastAsia"/>
          <w:color w:val="000000" w:themeColor="text1"/>
          <w:sz w:val="30"/>
          <w:szCs w:val="30"/>
          <w:shd w:val="clear" w:color="auto" w:fill="FFFFFF"/>
        </w:rPr>
        <w:t>本月</w:t>
      </w:r>
      <w:r w:rsidRPr="00B0577D">
        <w:rPr>
          <w:rFonts w:asciiTheme="minorEastAsia" w:hAnsiTheme="minorEastAsia"/>
          <w:color w:val="000000" w:themeColor="text1"/>
          <w:sz w:val="30"/>
          <w:szCs w:val="30"/>
          <w:shd w:val="clear" w:color="auto" w:fill="FFFFFF"/>
        </w:rPr>
        <w:t>涨</w:t>
      </w:r>
      <w:r w:rsidR="001F6F25">
        <w:rPr>
          <w:rFonts w:asciiTheme="minorEastAsia" w:hAnsiTheme="minorEastAsia" w:hint="eastAsia"/>
          <w:color w:val="000000" w:themeColor="text1"/>
          <w:sz w:val="30"/>
          <w:szCs w:val="30"/>
          <w:shd w:val="clear" w:color="auto" w:fill="FFFFFF"/>
        </w:rPr>
        <w:t>幅</w:t>
      </w:r>
      <w:r w:rsidR="001F6F25">
        <w:rPr>
          <w:rFonts w:asciiTheme="minorEastAsia" w:hAnsiTheme="minorEastAsia"/>
          <w:color w:val="000000" w:themeColor="text1"/>
          <w:sz w:val="30"/>
          <w:szCs w:val="30"/>
          <w:shd w:val="clear" w:color="auto" w:fill="FFFFFF"/>
        </w:rPr>
        <w:t>居前的</w:t>
      </w:r>
      <w:r w:rsidR="001F6F25">
        <w:rPr>
          <w:rFonts w:asciiTheme="minorEastAsia" w:hAnsiTheme="minorEastAsia" w:hint="eastAsia"/>
          <w:color w:val="000000" w:themeColor="text1"/>
          <w:sz w:val="30"/>
          <w:szCs w:val="30"/>
          <w:shd w:val="clear" w:color="auto" w:fill="FFFFFF"/>
        </w:rPr>
        <w:t>板块</w:t>
      </w:r>
      <w:r w:rsidR="0059650F">
        <w:rPr>
          <w:rFonts w:asciiTheme="minorEastAsia" w:hAnsiTheme="minorEastAsia" w:hint="eastAsia"/>
          <w:color w:val="000000" w:themeColor="text1"/>
          <w:sz w:val="30"/>
          <w:szCs w:val="30"/>
          <w:shd w:val="clear" w:color="auto" w:fill="FFFFFF"/>
        </w:rPr>
        <w:t>主要</w:t>
      </w:r>
      <w:r w:rsidRPr="00B0577D">
        <w:rPr>
          <w:rFonts w:asciiTheme="minorEastAsia" w:hAnsiTheme="minorEastAsia"/>
          <w:color w:val="000000" w:themeColor="text1"/>
          <w:sz w:val="30"/>
          <w:szCs w:val="30"/>
          <w:shd w:val="clear" w:color="auto" w:fill="FFFFFF"/>
        </w:rPr>
        <w:t>是</w:t>
      </w:r>
      <w:r w:rsidR="000B7ABD">
        <w:rPr>
          <w:rFonts w:asciiTheme="minorEastAsia" w:hAnsiTheme="minorEastAsia" w:hint="eastAsia"/>
          <w:color w:val="000000" w:themeColor="text1"/>
          <w:sz w:val="30"/>
          <w:szCs w:val="30"/>
          <w:shd w:val="clear" w:color="auto" w:fill="FFFFFF"/>
        </w:rPr>
        <w:t>电子、农林牧渔、国防军工、公用事业等</w:t>
      </w:r>
      <w:r w:rsidR="004B7FAF">
        <w:rPr>
          <w:rFonts w:asciiTheme="minorEastAsia" w:hAnsiTheme="minorEastAsia" w:hint="eastAsia"/>
          <w:color w:val="000000" w:themeColor="text1"/>
          <w:sz w:val="30"/>
          <w:szCs w:val="30"/>
          <w:shd w:val="clear" w:color="auto" w:fill="FFFFFF"/>
        </w:rPr>
        <w:t>，其涨幅依次为8.9%、8.46%、5.95%、1.48%</w:t>
      </w:r>
      <w:r w:rsidR="0087581E">
        <w:rPr>
          <w:rFonts w:asciiTheme="minorEastAsia" w:hAnsiTheme="minorEastAsia" w:hint="eastAsia"/>
          <w:color w:val="000000" w:themeColor="text1"/>
          <w:sz w:val="30"/>
          <w:szCs w:val="30"/>
          <w:shd w:val="clear" w:color="auto" w:fill="FFFFFF"/>
        </w:rPr>
        <w:t>等</w:t>
      </w:r>
      <w:r w:rsidRPr="00B0577D">
        <w:rPr>
          <w:rFonts w:asciiTheme="minorEastAsia" w:hAnsiTheme="minorEastAsia"/>
          <w:color w:val="000000" w:themeColor="text1"/>
          <w:sz w:val="30"/>
          <w:szCs w:val="30"/>
          <w:shd w:val="clear" w:color="auto" w:fill="FFFFFF"/>
        </w:rPr>
        <w:t>；其中</w:t>
      </w:r>
      <w:r w:rsidR="001F6F25">
        <w:rPr>
          <w:rFonts w:asciiTheme="minorEastAsia" w:hAnsiTheme="minorEastAsia" w:hint="eastAsia"/>
          <w:color w:val="000000" w:themeColor="text1"/>
          <w:sz w:val="30"/>
          <w:szCs w:val="30"/>
          <w:shd w:val="clear" w:color="auto" w:fill="FFFFFF"/>
        </w:rPr>
        <w:t>跌幅较</w:t>
      </w:r>
      <w:r w:rsidR="001F6F25">
        <w:rPr>
          <w:rFonts w:asciiTheme="minorEastAsia" w:hAnsiTheme="minorEastAsia"/>
          <w:color w:val="000000" w:themeColor="text1"/>
          <w:sz w:val="30"/>
          <w:szCs w:val="30"/>
          <w:shd w:val="clear" w:color="auto" w:fill="FFFFFF"/>
        </w:rPr>
        <w:t>深</w:t>
      </w:r>
      <w:r w:rsidRPr="00B0577D">
        <w:rPr>
          <w:rFonts w:asciiTheme="minorEastAsia" w:hAnsiTheme="minorEastAsia" w:hint="eastAsia"/>
          <w:color w:val="000000" w:themeColor="text1"/>
          <w:sz w:val="30"/>
          <w:szCs w:val="30"/>
          <w:shd w:val="clear" w:color="auto" w:fill="FFFFFF"/>
        </w:rPr>
        <w:t>的板块主要是</w:t>
      </w:r>
      <w:r w:rsidR="0087581E">
        <w:rPr>
          <w:rFonts w:asciiTheme="minorEastAsia" w:hAnsiTheme="minorEastAsia" w:hint="eastAsia"/>
          <w:color w:val="000000" w:themeColor="text1"/>
          <w:sz w:val="30"/>
          <w:szCs w:val="30"/>
          <w:shd w:val="clear" w:color="auto" w:fill="FFFFFF"/>
        </w:rPr>
        <w:t>有色金属、钢铁、商业贸易、综合等</w:t>
      </w:r>
      <w:r w:rsidRPr="00B0577D">
        <w:rPr>
          <w:rFonts w:asciiTheme="minorEastAsia" w:hAnsiTheme="minorEastAsia" w:hint="eastAsia"/>
          <w:color w:val="000000" w:themeColor="text1"/>
          <w:sz w:val="30"/>
          <w:szCs w:val="30"/>
          <w:shd w:val="clear" w:color="auto" w:fill="FFFFFF"/>
        </w:rPr>
        <w:t>，</w:t>
      </w:r>
      <w:r w:rsidR="009260B1">
        <w:rPr>
          <w:rFonts w:asciiTheme="minorEastAsia" w:hAnsiTheme="minorEastAsia" w:hint="eastAsia"/>
          <w:color w:val="000000" w:themeColor="text1"/>
          <w:sz w:val="30"/>
          <w:szCs w:val="30"/>
          <w:shd w:val="clear" w:color="auto" w:fill="FFFFFF"/>
        </w:rPr>
        <w:t>其涨幅依次为</w:t>
      </w:r>
      <w:r w:rsidR="009260B1">
        <w:rPr>
          <w:rFonts w:asciiTheme="minorEastAsia" w:hAnsiTheme="minorEastAsia" w:cs="宋体" w:hint="eastAsia"/>
          <w:color w:val="000000"/>
          <w:sz w:val="30"/>
          <w:szCs w:val="30"/>
        </w:rPr>
        <w:t>-</w:t>
      </w:r>
      <w:r w:rsidR="009260B1">
        <w:rPr>
          <w:rFonts w:asciiTheme="minorEastAsia" w:hAnsiTheme="minorEastAsia" w:hint="eastAsia"/>
          <w:color w:val="000000" w:themeColor="text1"/>
          <w:sz w:val="30"/>
          <w:szCs w:val="30"/>
          <w:shd w:val="clear" w:color="auto" w:fill="FFFFFF"/>
        </w:rPr>
        <w:t>4.87%、</w:t>
      </w:r>
      <w:r w:rsidR="009260B1">
        <w:rPr>
          <w:rFonts w:asciiTheme="minorEastAsia" w:hAnsiTheme="minorEastAsia" w:cs="宋体" w:hint="eastAsia"/>
          <w:color w:val="000000"/>
          <w:sz w:val="30"/>
          <w:szCs w:val="30"/>
        </w:rPr>
        <w:t>-</w:t>
      </w:r>
      <w:r w:rsidR="009260B1">
        <w:rPr>
          <w:rFonts w:asciiTheme="minorEastAsia" w:hAnsiTheme="minorEastAsia" w:hint="eastAsia"/>
          <w:color w:val="000000" w:themeColor="text1"/>
          <w:sz w:val="30"/>
          <w:szCs w:val="30"/>
          <w:shd w:val="clear" w:color="auto" w:fill="FFFFFF"/>
        </w:rPr>
        <w:t>4.19%、</w:t>
      </w:r>
      <w:r w:rsidR="009260B1">
        <w:rPr>
          <w:rFonts w:asciiTheme="minorEastAsia" w:hAnsiTheme="minorEastAsia" w:cs="宋体" w:hint="eastAsia"/>
          <w:color w:val="000000"/>
          <w:sz w:val="30"/>
          <w:szCs w:val="30"/>
        </w:rPr>
        <w:t>-3.87</w:t>
      </w:r>
      <w:r w:rsidR="009260B1">
        <w:rPr>
          <w:rFonts w:asciiTheme="minorEastAsia" w:hAnsiTheme="minorEastAsia" w:hint="eastAsia"/>
          <w:color w:val="000000" w:themeColor="text1"/>
          <w:sz w:val="30"/>
          <w:szCs w:val="30"/>
          <w:shd w:val="clear" w:color="auto" w:fill="FFFFFF"/>
        </w:rPr>
        <w:t>%</w:t>
      </w:r>
      <w:r w:rsidR="009260B1">
        <w:rPr>
          <w:rFonts w:asciiTheme="minorEastAsia" w:hAnsiTheme="minorEastAsia" w:cs="宋体" w:hint="eastAsia"/>
          <w:color w:val="000000"/>
          <w:sz w:val="30"/>
          <w:szCs w:val="30"/>
        </w:rPr>
        <w:t>、-3.83</w:t>
      </w:r>
      <w:r w:rsidR="009260B1">
        <w:rPr>
          <w:rFonts w:asciiTheme="minorEastAsia" w:hAnsiTheme="minorEastAsia" w:hint="eastAsia"/>
          <w:color w:val="000000" w:themeColor="text1"/>
          <w:sz w:val="30"/>
          <w:szCs w:val="30"/>
          <w:shd w:val="clear" w:color="auto" w:fill="FFFFFF"/>
        </w:rPr>
        <w:t>%</w:t>
      </w:r>
      <w:r w:rsidR="000234F9">
        <w:rPr>
          <w:rFonts w:asciiTheme="minorEastAsia" w:hAnsiTheme="minorEastAsia" w:hint="eastAsia"/>
          <w:color w:val="000000" w:themeColor="text1"/>
          <w:sz w:val="30"/>
          <w:szCs w:val="30"/>
          <w:shd w:val="clear" w:color="auto" w:fill="FFFFFF"/>
        </w:rPr>
        <w:t>等。</w:t>
      </w:r>
      <w:r w:rsidRPr="00B0577D">
        <w:rPr>
          <w:rFonts w:asciiTheme="minorEastAsia" w:hAnsiTheme="minorEastAsia" w:hint="eastAsia"/>
          <w:color w:val="000000" w:themeColor="text1"/>
          <w:sz w:val="30"/>
          <w:szCs w:val="30"/>
          <w:shd w:val="clear" w:color="auto" w:fill="FFFFFF"/>
        </w:rPr>
        <w:t>板块具体</w:t>
      </w:r>
      <w:r w:rsidRPr="00B0577D">
        <w:rPr>
          <w:rFonts w:asciiTheme="minorEastAsia" w:hAnsiTheme="minorEastAsia"/>
          <w:color w:val="000000" w:themeColor="text1"/>
          <w:sz w:val="30"/>
          <w:szCs w:val="30"/>
          <w:shd w:val="clear" w:color="auto" w:fill="FFFFFF"/>
        </w:rPr>
        <w:t>涨</w:t>
      </w:r>
      <w:r w:rsidRPr="00B0577D">
        <w:rPr>
          <w:rFonts w:asciiTheme="minorEastAsia" w:hAnsiTheme="minorEastAsia" w:hint="eastAsia"/>
          <w:color w:val="000000" w:themeColor="text1"/>
          <w:sz w:val="30"/>
          <w:szCs w:val="30"/>
          <w:shd w:val="clear" w:color="auto" w:fill="FFFFFF"/>
        </w:rPr>
        <w:t>跌</w:t>
      </w:r>
      <w:r w:rsidRPr="00B0577D">
        <w:rPr>
          <w:rFonts w:asciiTheme="minorEastAsia" w:hAnsiTheme="minorEastAsia"/>
          <w:color w:val="000000" w:themeColor="text1"/>
          <w:sz w:val="30"/>
          <w:szCs w:val="30"/>
          <w:shd w:val="clear" w:color="auto" w:fill="FFFFFF"/>
        </w:rPr>
        <w:t>幅如图</w:t>
      </w:r>
      <w:r w:rsidRPr="00B0577D">
        <w:rPr>
          <w:rFonts w:asciiTheme="minorEastAsia" w:hAnsiTheme="minorEastAsia" w:hint="eastAsia"/>
          <w:color w:val="000000" w:themeColor="text1"/>
          <w:sz w:val="30"/>
          <w:szCs w:val="30"/>
          <w:shd w:val="clear" w:color="auto" w:fill="FFFFFF"/>
        </w:rPr>
        <w:t>2</w:t>
      </w:r>
      <w:r w:rsidRPr="00B0577D">
        <w:rPr>
          <w:rFonts w:asciiTheme="minorEastAsia" w:hAnsiTheme="minorEastAsia"/>
          <w:color w:val="000000" w:themeColor="text1"/>
          <w:sz w:val="30"/>
          <w:szCs w:val="30"/>
          <w:shd w:val="clear" w:color="auto" w:fill="FFFFFF"/>
        </w:rPr>
        <w:t>所示：</w:t>
      </w:r>
    </w:p>
    <w:p w:rsidR="00AF731C" w:rsidRDefault="00AF731C" w:rsidP="00B0577D">
      <w:pPr>
        <w:spacing w:line="480" w:lineRule="auto"/>
        <w:ind w:firstLineChars="200" w:firstLine="600"/>
        <w:jc w:val="center"/>
        <w:rPr>
          <w:rFonts w:asciiTheme="minorEastAsia" w:hAnsiTheme="minorEastAsia"/>
          <w:sz w:val="30"/>
          <w:szCs w:val="30"/>
        </w:rPr>
      </w:pPr>
    </w:p>
    <w:p w:rsidR="00AF731C" w:rsidRDefault="00AF731C" w:rsidP="00B0577D">
      <w:pPr>
        <w:spacing w:line="480" w:lineRule="auto"/>
        <w:ind w:firstLineChars="200" w:firstLine="600"/>
        <w:jc w:val="center"/>
        <w:rPr>
          <w:rFonts w:asciiTheme="minorEastAsia" w:hAnsiTheme="minorEastAsia"/>
          <w:sz w:val="30"/>
          <w:szCs w:val="30"/>
        </w:rPr>
      </w:pPr>
    </w:p>
    <w:p w:rsidR="00AF731C" w:rsidRDefault="00AF731C" w:rsidP="00B0577D">
      <w:pPr>
        <w:spacing w:line="480" w:lineRule="auto"/>
        <w:ind w:firstLineChars="200" w:firstLine="600"/>
        <w:jc w:val="center"/>
        <w:rPr>
          <w:rFonts w:asciiTheme="minorEastAsia" w:hAnsiTheme="minorEastAsia"/>
          <w:sz w:val="30"/>
          <w:szCs w:val="30"/>
        </w:rPr>
      </w:pPr>
    </w:p>
    <w:p w:rsidR="000A2141" w:rsidRPr="00AF731C" w:rsidRDefault="002F4817" w:rsidP="00AF731C">
      <w:pPr>
        <w:spacing w:line="480" w:lineRule="auto"/>
        <w:ind w:firstLineChars="200" w:firstLine="600"/>
        <w:jc w:val="center"/>
        <w:rPr>
          <w:rFonts w:asciiTheme="minorEastAsia" w:hAnsiTheme="minorEastAsia"/>
          <w:sz w:val="30"/>
          <w:szCs w:val="30"/>
        </w:rPr>
      </w:pPr>
      <w:r w:rsidRPr="00B0577D">
        <w:rPr>
          <w:rFonts w:asciiTheme="minorEastAsia" w:hAnsiTheme="minorEastAsia" w:hint="eastAsia"/>
          <w:sz w:val="30"/>
          <w:szCs w:val="30"/>
        </w:rPr>
        <w:t>图2：本月A股市场申万一级行业表现</w:t>
      </w:r>
    </w:p>
    <w:p w:rsidR="000A2141" w:rsidRDefault="000234F9" w:rsidP="000234F9">
      <w:pPr>
        <w:spacing w:line="480" w:lineRule="auto"/>
        <w:ind w:firstLineChars="200" w:firstLine="600"/>
        <w:jc w:val="center"/>
        <w:rPr>
          <w:rFonts w:asciiTheme="minorEastAsia" w:hAnsiTheme="minorEastAsia"/>
          <w:sz w:val="30"/>
          <w:szCs w:val="30"/>
        </w:rPr>
      </w:pPr>
      <w:r w:rsidRPr="000234F9">
        <w:rPr>
          <w:rFonts w:asciiTheme="minorEastAsia" w:hAnsiTheme="minorEastAsia" w:hint="eastAsia"/>
          <w:noProof/>
          <w:sz w:val="30"/>
          <w:szCs w:val="30"/>
        </w:rPr>
        <w:lastRenderedPageBreak/>
        <w:drawing>
          <wp:inline distT="0" distB="0" distL="0" distR="0">
            <wp:extent cx="4465486" cy="2297927"/>
            <wp:effectExtent l="1905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4464508" cy="2297424"/>
                    </a:xfrm>
                    <a:prstGeom prst="rect">
                      <a:avLst/>
                    </a:prstGeom>
                    <a:noFill/>
                    <a:ln w="9525">
                      <a:noFill/>
                      <a:miter lim="800000"/>
                      <a:headEnd/>
                      <a:tailEnd/>
                    </a:ln>
                  </pic:spPr>
                </pic:pic>
              </a:graphicData>
            </a:graphic>
          </wp:inline>
        </w:drawing>
      </w:r>
    </w:p>
    <w:p w:rsidR="000A2141" w:rsidRPr="00736DFE" w:rsidRDefault="000A2141" w:rsidP="003918FD">
      <w:pPr>
        <w:spacing w:line="480" w:lineRule="auto"/>
        <w:rPr>
          <w:rFonts w:asciiTheme="minorEastAsia" w:hAnsiTheme="minorEastAsia"/>
          <w:sz w:val="30"/>
          <w:szCs w:val="30"/>
        </w:rPr>
      </w:pPr>
    </w:p>
    <w:p w:rsidR="0098698C" w:rsidRPr="0098698C" w:rsidRDefault="002F4817" w:rsidP="0098698C">
      <w:pPr>
        <w:spacing w:line="480" w:lineRule="auto"/>
        <w:ind w:firstLineChars="200" w:firstLine="600"/>
        <w:rPr>
          <w:rFonts w:asciiTheme="minorEastAsia" w:hAnsiTheme="minorEastAsia"/>
          <w:color w:val="000000" w:themeColor="text1"/>
          <w:sz w:val="30"/>
          <w:szCs w:val="30"/>
          <w:shd w:val="clear" w:color="auto" w:fill="FFFFFF"/>
        </w:rPr>
      </w:pPr>
      <w:r w:rsidRPr="00B0577D">
        <w:rPr>
          <w:rFonts w:asciiTheme="minorEastAsia" w:hAnsiTheme="minorEastAsia" w:hint="eastAsia"/>
          <w:color w:val="000000" w:themeColor="text1"/>
          <w:sz w:val="30"/>
          <w:szCs w:val="30"/>
          <w:shd w:val="clear" w:color="auto" w:fill="FFFFFF"/>
        </w:rPr>
        <w:t>宏观经济</w:t>
      </w:r>
      <w:r w:rsidRPr="00B0577D">
        <w:rPr>
          <w:rFonts w:asciiTheme="minorEastAsia" w:hAnsiTheme="minorEastAsia"/>
          <w:color w:val="000000" w:themeColor="text1"/>
          <w:sz w:val="30"/>
          <w:szCs w:val="30"/>
          <w:shd w:val="clear" w:color="auto" w:fill="FFFFFF"/>
        </w:rPr>
        <w:t>方面</w:t>
      </w:r>
      <w:r w:rsidRPr="00B0577D">
        <w:rPr>
          <w:rFonts w:asciiTheme="minorEastAsia" w:hAnsiTheme="minorEastAsia" w:hint="eastAsia"/>
          <w:color w:val="000000" w:themeColor="text1"/>
          <w:sz w:val="30"/>
          <w:szCs w:val="30"/>
          <w:shd w:val="clear" w:color="auto" w:fill="FFFFFF"/>
        </w:rPr>
        <w:t>，</w:t>
      </w:r>
      <w:r w:rsidR="00B64537" w:rsidRPr="00B64537">
        <w:rPr>
          <w:rFonts w:asciiTheme="minorEastAsia" w:hAnsiTheme="minorEastAsia"/>
          <w:color w:val="000000" w:themeColor="text1"/>
          <w:sz w:val="30"/>
          <w:szCs w:val="30"/>
          <w:shd w:val="clear" w:color="auto" w:fill="FFFFFF"/>
        </w:rPr>
        <w:t>1—6月份，全国规模以上工业企业实现利润总额29840.0亿元，同比下降2.4%，降幅比1—5月份扩大0.1个百分点。6</w:t>
      </w:r>
      <w:r w:rsidR="00014BEE">
        <w:rPr>
          <w:rFonts w:asciiTheme="minorEastAsia" w:hAnsiTheme="minorEastAsia"/>
          <w:color w:val="000000" w:themeColor="text1"/>
          <w:sz w:val="30"/>
          <w:szCs w:val="30"/>
          <w:shd w:val="clear" w:color="auto" w:fill="FFFFFF"/>
        </w:rPr>
        <w:t>月份</w:t>
      </w:r>
      <w:r w:rsidR="00014BEE">
        <w:rPr>
          <w:rFonts w:asciiTheme="minorEastAsia" w:hAnsiTheme="minorEastAsia" w:hint="eastAsia"/>
          <w:color w:val="000000" w:themeColor="text1"/>
          <w:sz w:val="30"/>
          <w:szCs w:val="30"/>
          <w:shd w:val="clear" w:color="auto" w:fill="FFFFFF"/>
        </w:rPr>
        <w:t>，</w:t>
      </w:r>
      <w:r w:rsidR="00B64537" w:rsidRPr="00B64537">
        <w:rPr>
          <w:rFonts w:asciiTheme="minorEastAsia" w:hAnsiTheme="minorEastAsia"/>
          <w:color w:val="000000" w:themeColor="text1"/>
          <w:sz w:val="30"/>
          <w:szCs w:val="30"/>
          <w:shd w:val="clear" w:color="auto" w:fill="FFFFFF"/>
        </w:rPr>
        <w:t>规模以上工业企业实现利润总额6019.2亿元，同比下降3.1%，5月份为同比增长1.1%。</w:t>
      </w:r>
      <w:r w:rsidR="0098698C" w:rsidRPr="0098698C">
        <w:rPr>
          <w:rFonts w:asciiTheme="minorEastAsia" w:hAnsiTheme="minorEastAsia"/>
          <w:color w:val="000000" w:themeColor="text1"/>
          <w:sz w:val="30"/>
          <w:szCs w:val="30"/>
          <w:shd w:val="clear" w:color="auto" w:fill="FFFFFF"/>
        </w:rPr>
        <w:t>7月31日，国家统计局公布7月份中国制造业采购经理指数(PMI)为49.7%，高于上月0.3个百分点，是4月份以来首现回升，符合市场预期，但仍连续三月位于荣枯线以下。</w:t>
      </w:r>
    </w:p>
    <w:p w:rsidR="00C852BF" w:rsidRDefault="000B545F" w:rsidP="00B0577D">
      <w:pPr>
        <w:shd w:val="clear" w:color="auto" w:fill="FFFFFF"/>
        <w:spacing w:before="225" w:after="225" w:line="480" w:lineRule="auto"/>
        <w:ind w:firstLineChars="200" w:firstLine="600"/>
        <w:rPr>
          <w:rFonts w:asciiTheme="minorEastAsia" w:hAnsiTheme="minorEastAsia"/>
          <w:color w:val="000000" w:themeColor="text1"/>
          <w:sz w:val="30"/>
          <w:szCs w:val="30"/>
          <w:shd w:val="clear" w:color="auto" w:fill="FFFFFF"/>
        </w:rPr>
      </w:pPr>
      <w:r w:rsidRPr="00B0577D">
        <w:rPr>
          <w:rFonts w:asciiTheme="minorEastAsia" w:hAnsiTheme="minorEastAsia" w:hint="eastAsia"/>
          <w:color w:val="000000" w:themeColor="text1"/>
          <w:sz w:val="30"/>
          <w:szCs w:val="30"/>
          <w:shd w:val="clear" w:color="auto" w:fill="FFFFFF"/>
        </w:rPr>
        <w:t>货币</w:t>
      </w:r>
      <w:r w:rsidRPr="00B0577D">
        <w:rPr>
          <w:rFonts w:asciiTheme="minorEastAsia" w:hAnsiTheme="minorEastAsia"/>
          <w:color w:val="000000" w:themeColor="text1"/>
          <w:sz w:val="30"/>
          <w:szCs w:val="30"/>
          <w:shd w:val="clear" w:color="auto" w:fill="FFFFFF"/>
        </w:rPr>
        <w:t>政策方面</w:t>
      </w:r>
      <w:r w:rsidRPr="00B0577D">
        <w:rPr>
          <w:rFonts w:asciiTheme="minorEastAsia" w:hAnsiTheme="minorEastAsia" w:hint="eastAsia"/>
          <w:color w:val="000000" w:themeColor="text1"/>
          <w:sz w:val="30"/>
          <w:szCs w:val="30"/>
          <w:shd w:val="clear" w:color="auto" w:fill="FFFFFF"/>
        </w:rPr>
        <w:t>,</w:t>
      </w:r>
      <w:r w:rsidRPr="00B0577D">
        <w:rPr>
          <w:rFonts w:asciiTheme="minorEastAsia" w:hAnsiTheme="minorEastAsia"/>
          <w:color w:val="000000" w:themeColor="text1"/>
          <w:sz w:val="30"/>
          <w:szCs w:val="30"/>
          <w:shd w:val="clear" w:color="auto" w:fill="FFFFFF"/>
        </w:rPr>
        <w:t xml:space="preserve"> </w:t>
      </w:r>
      <w:r w:rsidR="00C852BF" w:rsidRPr="00871AB4">
        <w:rPr>
          <w:rFonts w:asciiTheme="minorEastAsia" w:hAnsiTheme="minorEastAsia" w:hint="eastAsia"/>
          <w:color w:val="000000" w:themeColor="text1"/>
          <w:sz w:val="30"/>
          <w:szCs w:val="30"/>
          <w:shd w:val="clear" w:color="auto" w:fill="FFFFFF"/>
        </w:rPr>
        <w:t>中共中央政治局7月30日召开会议，实施好积极的财政政策和稳健的货币政策，货币政策要松紧适度，保持流动性合理充裕；落实房地产长效管理机制，不将房地产作为短期刺激经济的手段；稳定制造业投资，加快推进信息网络等新型基础设施建设等</w:t>
      </w:r>
      <w:r w:rsidR="00C852BF">
        <w:rPr>
          <w:rFonts w:asciiTheme="minorEastAsia" w:hAnsiTheme="minorEastAsia" w:hint="eastAsia"/>
          <w:color w:val="000000" w:themeColor="text1"/>
          <w:sz w:val="30"/>
          <w:szCs w:val="30"/>
          <w:shd w:val="clear" w:color="auto" w:fill="FFFFFF"/>
        </w:rPr>
        <w:t>。</w:t>
      </w:r>
    </w:p>
    <w:p w:rsidR="00D72740" w:rsidRPr="00D72740" w:rsidRDefault="000B545F" w:rsidP="00871AB4">
      <w:pPr>
        <w:shd w:val="clear" w:color="auto" w:fill="FFFFFF"/>
        <w:spacing w:before="225" w:after="225" w:line="480" w:lineRule="auto"/>
        <w:ind w:firstLineChars="200" w:firstLine="600"/>
        <w:rPr>
          <w:rFonts w:asciiTheme="minorEastAsia" w:hAnsiTheme="minorEastAsia"/>
          <w:color w:val="000000" w:themeColor="text1"/>
          <w:sz w:val="30"/>
          <w:szCs w:val="30"/>
          <w:shd w:val="clear" w:color="auto" w:fill="FFFFFF"/>
        </w:rPr>
      </w:pPr>
      <w:r w:rsidRPr="00B0577D">
        <w:rPr>
          <w:rFonts w:asciiTheme="minorEastAsia" w:hAnsiTheme="minorEastAsia" w:hint="eastAsia"/>
          <w:color w:val="000000" w:themeColor="text1"/>
          <w:sz w:val="30"/>
          <w:szCs w:val="30"/>
          <w:shd w:val="clear" w:color="auto" w:fill="FFFFFF"/>
        </w:rPr>
        <w:lastRenderedPageBreak/>
        <w:t>消息面上，(</w:t>
      </w:r>
      <w:r w:rsidRPr="00B0577D">
        <w:rPr>
          <w:rFonts w:asciiTheme="minorEastAsia" w:hAnsiTheme="minorEastAsia"/>
          <w:color w:val="000000" w:themeColor="text1"/>
          <w:sz w:val="30"/>
          <w:szCs w:val="30"/>
          <w:shd w:val="clear" w:color="auto" w:fill="FFFFFF"/>
        </w:rPr>
        <w:t>1)</w:t>
      </w:r>
      <w:r w:rsidR="00DC05AF" w:rsidRPr="001164E3">
        <w:rPr>
          <w:rFonts w:asciiTheme="minorEastAsia" w:hAnsiTheme="minorEastAsia"/>
          <w:color w:val="000000" w:themeColor="text1"/>
          <w:sz w:val="30"/>
          <w:szCs w:val="30"/>
          <w:shd w:val="clear" w:color="auto" w:fill="FFFFFF"/>
        </w:rPr>
        <w:t xml:space="preserve"> </w:t>
      </w:r>
      <w:r w:rsidR="001164E3" w:rsidRPr="001164E3">
        <w:rPr>
          <w:rFonts w:asciiTheme="minorEastAsia" w:hAnsiTheme="minorEastAsia"/>
          <w:color w:val="000000" w:themeColor="text1"/>
          <w:sz w:val="30"/>
          <w:szCs w:val="30"/>
          <w:shd w:val="clear" w:color="auto" w:fill="FFFFFF"/>
        </w:rPr>
        <w:t>MSCI官网发布消息称，8月指数季度调整将于欧洲中部时间(夏令时)8月7日公布结果。该指数调整结果将于8月27日收盘后正式生效。根据此前公布的方案，MSCI将在8月的指数季度调整中将中国大盘A股的纳入因子由10%提升至15%。</w:t>
      </w:r>
      <w:r w:rsidR="00871AB4">
        <w:rPr>
          <w:rFonts w:asciiTheme="minorEastAsia" w:hAnsiTheme="minorEastAsia" w:hint="eastAsia"/>
          <w:color w:val="000000" w:themeColor="text1"/>
          <w:sz w:val="30"/>
          <w:szCs w:val="30"/>
          <w:shd w:val="clear" w:color="auto" w:fill="FFFFFF"/>
        </w:rPr>
        <w:t>（</w:t>
      </w:r>
      <w:r w:rsidR="00DC05AF">
        <w:rPr>
          <w:rFonts w:asciiTheme="minorEastAsia" w:hAnsiTheme="minorEastAsia" w:hint="eastAsia"/>
          <w:color w:val="000000" w:themeColor="text1"/>
          <w:sz w:val="30"/>
          <w:szCs w:val="30"/>
          <w:shd w:val="clear" w:color="auto" w:fill="FFFFFF"/>
        </w:rPr>
        <w:t>2</w:t>
      </w:r>
      <w:r w:rsidR="00DC05AF">
        <w:rPr>
          <w:rFonts w:asciiTheme="minorEastAsia" w:hAnsiTheme="minorEastAsia"/>
          <w:color w:val="000000" w:themeColor="text1"/>
          <w:sz w:val="30"/>
          <w:szCs w:val="30"/>
          <w:shd w:val="clear" w:color="auto" w:fill="FFFFFF"/>
        </w:rPr>
        <w:t>）</w:t>
      </w:r>
      <w:r w:rsidR="00D72740" w:rsidRPr="00D72740">
        <w:rPr>
          <w:rFonts w:asciiTheme="minorEastAsia" w:hAnsiTheme="minorEastAsia"/>
          <w:color w:val="000000" w:themeColor="text1"/>
          <w:sz w:val="30"/>
          <w:szCs w:val="30"/>
          <w:shd w:val="clear" w:color="auto" w:fill="FFFFFF"/>
        </w:rPr>
        <w:t>联储宣布降息25个基点，将联邦基金利率目标区间下调至2.00%-2.25%，符合市场预期，这是2008年金融危机以来美联储的首次降息行动。美联储FOMC声明称，将于8月1日结束缩表计划。此次降息原因包括企业投资“疲软”、通胀压力“持续较低”。</w:t>
      </w:r>
      <w:r w:rsidR="00915CDD" w:rsidRPr="00D72740">
        <w:rPr>
          <w:rFonts w:asciiTheme="minorEastAsia" w:hAnsiTheme="minorEastAsia"/>
          <w:color w:val="000000" w:themeColor="text1"/>
          <w:sz w:val="30"/>
          <w:szCs w:val="30"/>
          <w:shd w:val="clear" w:color="auto" w:fill="FFFFFF"/>
        </w:rPr>
        <w:t xml:space="preserve"> </w:t>
      </w:r>
    </w:p>
    <w:p w:rsidR="007951E9" w:rsidRPr="00B0577D" w:rsidRDefault="00B46D8D" w:rsidP="00B0577D">
      <w:pPr>
        <w:spacing w:line="480" w:lineRule="auto"/>
        <w:rPr>
          <w:rFonts w:asciiTheme="minorEastAsia" w:hAnsiTheme="minorEastAsia"/>
          <w:b/>
          <w:bCs/>
          <w:sz w:val="30"/>
          <w:szCs w:val="30"/>
        </w:rPr>
      </w:pPr>
      <w:r>
        <w:rPr>
          <w:rFonts w:asciiTheme="minorEastAsia" w:hAnsiTheme="minorEastAsia"/>
          <w:noProof/>
          <w:position w:val="-13"/>
          <w:sz w:val="30"/>
          <w:szCs w:val="30"/>
        </w:rPr>
      </w:r>
      <w:r>
        <w:rPr>
          <w:rFonts w:asciiTheme="minorEastAsia" w:hAnsiTheme="minorEastAsia"/>
          <w:noProof/>
          <w:position w:val="-13"/>
          <w:sz w:val="30"/>
          <w:szCs w:val="30"/>
        </w:rPr>
        <w:pict>
          <v:shape id="_x0000_s1026" type="#_x0000_t202" style="width:411pt;height:34.5pt;visibility:visible;mso-left-percent:-10001;mso-top-percent:-10001;mso-position-horizontal:absolute;mso-position-horizontal-relative:char;mso-position-vertical:absolute;mso-position-vertical-relative:line;mso-left-percent:-10001;mso-top-percent:-10001" fillcolor="#7e7e7e" stroked="f">
            <v:textbox inset="0,0,0,0">
              <w:txbxContent>
                <w:p w:rsidR="007951E9" w:rsidRPr="00C55D71" w:rsidRDefault="007951E9" w:rsidP="007951E9">
                  <w:pPr>
                    <w:spacing w:before="83"/>
                    <w:ind w:left="1"/>
                    <w:jc w:val="center"/>
                    <w:rPr>
                      <w:rFonts w:ascii="微软雅黑" w:eastAsia="微软雅黑" w:hAnsi="微软雅黑" w:cs="微软雅黑"/>
                      <w:b/>
                      <w:bCs/>
                      <w:i/>
                      <w:color w:val="FFFFFF"/>
                      <w:w w:val="96"/>
                      <w:sz w:val="36"/>
                      <w:szCs w:val="36"/>
                    </w:rPr>
                  </w:pPr>
                  <w:r>
                    <w:rPr>
                      <w:rFonts w:ascii="微软雅黑" w:eastAsia="微软雅黑" w:hAnsi="微软雅黑" w:cs="微软雅黑" w:hint="eastAsia"/>
                      <w:b/>
                      <w:bCs/>
                      <w:i/>
                      <w:color w:val="FFFFFF"/>
                      <w:w w:val="96"/>
                      <w:sz w:val="36"/>
                      <w:szCs w:val="36"/>
                    </w:rPr>
                    <w:t>下阶段</w:t>
                  </w:r>
                  <w:r>
                    <w:rPr>
                      <w:rFonts w:ascii="微软雅黑" w:eastAsia="微软雅黑" w:hAnsi="微软雅黑" w:cs="微软雅黑"/>
                      <w:b/>
                      <w:bCs/>
                      <w:i/>
                      <w:color w:val="FFFFFF"/>
                      <w:w w:val="96"/>
                      <w:sz w:val="36"/>
                      <w:szCs w:val="36"/>
                    </w:rPr>
                    <w:t>操作思路</w:t>
                  </w:r>
                </w:p>
              </w:txbxContent>
            </v:textbox>
            <w10:wrap type="none"/>
            <w10:anchorlock/>
          </v:shape>
        </w:pict>
      </w:r>
    </w:p>
    <w:p w:rsidR="006E4E7F" w:rsidRPr="00B0577D" w:rsidRDefault="00CE0555" w:rsidP="00BD53E3">
      <w:pPr>
        <w:pStyle w:val="af8"/>
        <w:shd w:val="clear" w:color="auto" w:fill="FFFFFF"/>
        <w:spacing w:before="0" w:beforeAutospacing="0" w:after="0" w:afterAutospacing="0" w:line="480" w:lineRule="auto"/>
        <w:ind w:firstLine="480"/>
        <w:rPr>
          <w:rFonts w:asciiTheme="minorEastAsia" w:eastAsiaTheme="minorEastAsia" w:hAnsiTheme="minorEastAsia" w:cstheme="minorBidi"/>
          <w:color w:val="000000" w:themeColor="text1"/>
          <w:sz w:val="30"/>
          <w:szCs w:val="30"/>
          <w:shd w:val="clear" w:color="auto" w:fill="FFFFFF"/>
        </w:rPr>
      </w:pPr>
      <w:r w:rsidRPr="00CE0555">
        <w:rPr>
          <w:rFonts w:asciiTheme="minorEastAsia" w:eastAsiaTheme="minorEastAsia" w:hAnsiTheme="minorEastAsia" w:cstheme="minorBidi" w:hint="eastAsia"/>
          <w:color w:val="000000" w:themeColor="text1"/>
          <w:sz w:val="30"/>
          <w:szCs w:val="30"/>
          <w:shd w:val="clear" w:color="auto" w:fill="FFFFFF"/>
        </w:rPr>
        <w:t>本月市场整体以盘整为主，尤其受几大因素影响，市场上下两难。其一是中美贸易谈判的不确定性，大家风险偏好难于提升，月底果然出现变数，特朗普威胁再次对中国3000多亿美元出口商品征税10%，全球股市都有较大负面反应；其次担忧中国经济进一步放缓，美国加息加大了对全球经济放缓的担忧，虽然境外多国降息，但股市反应谨慎，防御心态明显，本月黄金资产表现出色。国内股市方面，前期表现出色的消费医疗方面的核心资产均出现了高位回调，但整体回调幅度温和。而电子等科技行业表现不错，亦是因为中国在7月下旬成功推出科创板，较高的估值定价激活了前期一直受压制滞涨的电子信息等科技股票的表现。</w:t>
      </w:r>
      <w:r w:rsidRPr="00CE0555">
        <w:rPr>
          <w:rFonts w:asciiTheme="minorEastAsia" w:eastAsiaTheme="minorEastAsia" w:hAnsiTheme="minorEastAsia" w:cstheme="minorBidi" w:hint="eastAsia"/>
          <w:color w:val="000000" w:themeColor="text1"/>
          <w:sz w:val="30"/>
          <w:szCs w:val="30"/>
          <w:shd w:val="clear" w:color="auto" w:fill="FFFFFF"/>
        </w:rPr>
        <w:lastRenderedPageBreak/>
        <w:t>关于后市走势如何？的确大家比较迷茫。朴石投资在上周的周报中对科创板的历史地位与科技行业股票的投资机会都已经进行了具体分析，这里不再赘述。朴石投资这里主要还是从大家担心的两大因素出发作进一步的分析，提出朴石投资对市场机会的看法。</w:t>
      </w:r>
      <w:r w:rsidRPr="00C32BE0">
        <w:rPr>
          <w:rFonts w:asciiTheme="minorEastAsia" w:eastAsiaTheme="minorEastAsia" w:hAnsiTheme="minorEastAsia" w:cstheme="minorBidi" w:hint="eastAsia"/>
          <w:b/>
          <w:color w:val="000000" w:themeColor="text1"/>
          <w:sz w:val="30"/>
          <w:szCs w:val="30"/>
          <w:shd w:val="clear" w:color="auto" w:fill="FFFFFF"/>
        </w:rPr>
        <w:t>首先贸易谈判不可能一蹴而就，大家心态要平和一点</w:t>
      </w:r>
      <w:r w:rsidRPr="00CE0555">
        <w:rPr>
          <w:rFonts w:asciiTheme="minorEastAsia" w:eastAsiaTheme="minorEastAsia" w:hAnsiTheme="minorEastAsia" w:cstheme="minorBidi" w:hint="eastAsia"/>
          <w:color w:val="000000" w:themeColor="text1"/>
          <w:sz w:val="30"/>
          <w:szCs w:val="30"/>
          <w:shd w:val="clear" w:color="auto" w:fill="FFFFFF"/>
        </w:rPr>
        <w:t>，尤其大国博弈复杂又面对美国大选的时间窗口，中国即使希望尽快达成协议，但也需要考虑今后长远面对的是美国共和民主两党的压力，绝对不是特朗普一方意见，因此拉锯战很有可能持续到明年年中美国选战差不多有一定眉目的时期。因此中间美国现政府还会在哪些方面对中国施压是具有一定不确定性的。但朴石投资认为最困难的时候我们已经在经历了，未来还是心理影响大于实质影响，毕竟5000多亿美元的对美出口总额也不超过中国GDP的4%，更何况不可能全部被影响。不可否认在国内调结构的大背景下，叠加贸易影响，国内经济的部分行业一定会承压，经济的下行压力短期还会存在，这应该是困扰市场的主要因素。对于这个市场的主要担忧，我们朴石投资一直强调核心还是中央一直强调的办好自己的事，只要我们坚定持续推进改革开放，实质性降费减税增强企业活力，激发全社会创新活力，这个困难就非常有限，相信政府多项政策措施的逆向调控能力，经过时间一定会见效！但</w:t>
      </w:r>
      <w:r w:rsidRPr="00C32BE0">
        <w:rPr>
          <w:rFonts w:asciiTheme="minorEastAsia" w:eastAsiaTheme="minorEastAsia" w:hAnsiTheme="minorEastAsia" w:cstheme="minorBidi" w:hint="eastAsia"/>
          <w:b/>
          <w:color w:val="000000" w:themeColor="text1"/>
          <w:sz w:val="30"/>
          <w:szCs w:val="30"/>
          <w:shd w:val="clear" w:color="auto" w:fill="FFFFFF"/>
        </w:rPr>
        <w:t>在阶段性经济减速阶段，A股的投资机会在哪里？朴石投资认为还是需要坚持我们核心的价值投资理念，从安全的角度选择最</w:t>
      </w:r>
      <w:r w:rsidRPr="00C32BE0">
        <w:rPr>
          <w:rFonts w:asciiTheme="minorEastAsia" w:eastAsiaTheme="minorEastAsia" w:hAnsiTheme="minorEastAsia" w:cstheme="minorBidi" w:hint="eastAsia"/>
          <w:b/>
          <w:color w:val="000000" w:themeColor="text1"/>
          <w:sz w:val="30"/>
          <w:szCs w:val="30"/>
          <w:shd w:val="clear" w:color="auto" w:fill="FFFFFF"/>
        </w:rPr>
        <w:lastRenderedPageBreak/>
        <w:t>优秀的企业。我们强调现阶段面对宏观经济的不确定性，投资的安全性逐步集中在社会最核心的需求端。</w:t>
      </w:r>
      <w:r w:rsidRPr="00CE0555">
        <w:rPr>
          <w:rFonts w:asciiTheme="minorEastAsia" w:eastAsiaTheme="minorEastAsia" w:hAnsiTheme="minorEastAsia" w:cstheme="minorBidi" w:hint="eastAsia"/>
          <w:color w:val="000000" w:themeColor="text1"/>
          <w:sz w:val="30"/>
          <w:szCs w:val="30"/>
          <w:shd w:val="clear" w:color="auto" w:fill="FFFFFF"/>
        </w:rPr>
        <w:t>这个核心需求端资产的盈利能力即使在未来宏观压力下也不会下降，甚至还会基于其刚性需求而持续增长，朴石目前认为这类社会核心需求资产主要体现在三个方向：其一是健康医疗的社会生命质量核心需求，能给大家生命质量带来提升与延续的优秀医药企业，尤其具有核心创新能力的肿瘤药领域的龙头企业，以及特别优秀的医疗服务机构，未来的社会需要还会持续增加，不太会受经济下滑影响，因为生命的价值最高；其二是最可靠的最具独特性的社会高品质消费需求，这其中的品牌龙头企业，竞争对手很少，无论是日常生活还是发展事业交流的需要，这种高品质生活向往带来的品牌消费需求非常确定，这类企业受经济下滑影响非常滞后，并且在经济环境好起来后也最具有弹性；第三类是带来生产效率提升或者企业发展突破机会的技术创新，是一种社会发展的核心需求，以真正有核心技术优势与实质竞争能力的科技企业为主，这类企业需要精选，但总体如果能带来经济社会效益的极大提升，推动社会巨大发展进步，未来的需求也是持续高增长的，只是需要非常谨慎地去精选。朴石投资将坚持在这几个社会核心需求的方向上精选优质企业长期配置，尽量避免在受贸易摩擦与经济放缓影响的风险较高领域投资，以度过目前经济暂时的不确定时期，确保客户资产未来长期的稳定增值。</w:t>
      </w:r>
    </w:p>
    <w:p w:rsidR="000B545F" w:rsidRPr="00A3510F" w:rsidRDefault="00A3510F" w:rsidP="00B0577D">
      <w:pPr>
        <w:pStyle w:val="af8"/>
        <w:shd w:val="clear" w:color="auto" w:fill="FFFFFF"/>
        <w:spacing w:before="0" w:beforeAutospacing="0" w:after="0" w:afterAutospacing="0" w:line="480" w:lineRule="auto"/>
        <w:ind w:firstLine="480"/>
        <w:rPr>
          <w:rFonts w:asciiTheme="minorEastAsia" w:eastAsiaTheme="minorEastAsia" w:hAnsiTheme="minorEastAsia" w:cs="Times New Roman"/>
          <w:color w:val="000000" w:themeColor="text1"/>
          <w:sz w:val="30"/>
          <w:szCs w:val="30"/>
          <w:shd w:val="clear" w:color="auto" w:fill="FFFFFF"/>
        </w:rPr>
      </w:pPr>
      <w:r w:rsidRPr="00A3510F">
        <w:rPr>
          <w:rFonts w:asciiTheme="minorEastAsia" w:eastAsiaTheme="minorEastAsia" w:hAnsiTheme="minorEastAsia" w:cs="Times New Roman" w:hint="eastAsia"/>
          <w:color w:val="000000" w:themeColor="text1"/>
          <w:sz w:val="30"/>
          <w:szCs w:val="30"/>
          <w:shd w:val="clear" w:color="auto" w:fill="FFFFFF"/>
        </w:rPr>
        <w:lastRenderedPageBreak/>
        <w:t>本月我们基金产品在保持总体仓位稳定的同时，聚焦A股优质核心资产投资，在反复震荡的行情中，产品净值虽难免也有波动，但是</w:t>
      </w:r>
      <w:r>
        <w:rPr>
          <w:rFonts w:asciiTheme="minorEastAsia" w:eastAsiaTheme="minorEastAsia" w:hAnsiTheme="minorEastAsia" w:cs="Times New Roman" w:hint="eastAsia"/>
          <w:color w:val="000000" w:themeColor="text1"/>
          <w:sz w:val="30"/>
          <w:szCs w:val="30"/>
          <w:shd w:val="clear" w:color="auto" w:fill="FFFFFF"/>
        </w:rPr>
        <w:t>回调幅度有限</w:t>
      </w:r>
      <w:r w:rsidRPr="00A3510F">
        <w:rPr>
          <w:rFonts w:asciiTheme="minorEastAsia" w:eastAsiaTheme="minorEastAsia" w:hAnsiTheme="minorEastAsia" w:cs="Times New Roman" w:hint="eastAsia"/>
          <w:color w:val="000000" w:themeColor="text1"/>
          <w:sz w:val="30"/>
          <w:szCs w:val="30"/>
          <w:shd w:val="clear" w:color="auto" w:fill="FFFFFF"/>
        </w:rPr>
        <w:t>。我们将坚定长期坚持优中选优的投资理念，精选优质龙头企业长期进行投资，在防范与控制风险的同时，力求产品净值的稳健上升。请投资者一如既往放心地将资产交给我们，长期我们一定会给广大投资者带来稳健优良的投资回报！</w:t>
      </w:r>
    </w:p>
    <w:p w:rsidR="003D73B6" w:rsidRDefault="003D73B6" w:rsidP="00B0577D">
      <w:pPr>
        <w:spacing w:line="480" w:lineRule="auto"/>
        <w:ind w:firstLineChars="200" w:firstLine="422"/>
        <w:rPr>
          <w:rFonts w:ascii="MS Mincho" w:hAnsi="MS Mincho" w:cs="MS Mincho"/>
          <w:b/>
          <w:sz w:val="21"/>
          <w:szCs w:val="21"/>
        </w:rPr>
      </w:pPr>
    </w:p>
    <w:p w:rsidR="003E0EBE" w:rsidRDefault="003E0EBE" w:rsidP="00B0577D">
      <w:pPr>
        <w:spacing w:line="480" w:lineRule="auto"/>
        <w:ind w:firstLineChars="200" w:firstLine="422"/>
        <w:rPr>
          <w:rFonts w:ascii="MS Mincho" w:hAnsi="MS Mincho" w:cs="MS Mincho"/>
          <w:b/>
          <w:sz w:val="21"/>
          <w:szCs w:val="21"/>
        </w:rPr>
      </w:pPr>
    </w:p>
    <w:p w:rsidR="003E0EBE" w:rsidRDefault="003E0EBE" w:rsidP="00B0577D">
      <w:pPr>
        <w:spacing w:line="480" w:lineRule="auto"/>
        <w:ind w:firstLineChars="200" w:firstLine="422"/>
        <w:rPr>
          <w:rFonts w:ascii="MS Mincho" w:hAnsi="MS Mincho" w:cs="MS Mincho"/>
          <w:b/>
          <w:sz w:val="21"/>
          <w:szCs w:val="21"/>
        </w:rPr>
      </w:pPr>
    </w:p>
    <w:p w:rsidR="000B545F" w:rsidRPr="00B0577D" w:rsidRDefault="000B545F" w:rsidP="00B0577D">
      <w:pPr>
        <w:spacing w:line="480" w:lineRule="auto"/>
        <w:ind w:firstLineChars="200" w:firstLine="422"/>
        <w:rPr>
          <w:rFonts w:asciiTheme="minorEastAsia" w:hAnsiTheme="minorEastAsia"/>
          <w:b/>
          <w:sz w:val="21"/>
          <w:szCs w:val="21"/>
        </w:rPr>
      </w:pPr>
      <w:r w:rsidRPr="00B0577D">
        <w:rPr>
          <w:rFonts w:ascii="MS Mincho" w:eastAsia="MS Mincho" w:hAnsi="MS Mincho" w:cs="MS Mincho" w:hint="eastAsia"/>
          <w:b/>
          <w:sz w:val="21"/>
          <w:szCs w:val="21"/>
        </w:rPr>
        <w:t>➢</w:t>
      </w:r>
      <w:r w:rsidRPr="00B0577D">
        <w:rPr>
          <w:rFonts w:asciiTheme="minorEastAsia" w:hAnsiTheme="minorEastAsia"/>
          <w:b/>
          <w:sz w:val="21"/>
          <w:szCs w:val="21"/>
        </w:rPr>
        <w:tab/>
        <w:t>风险提示及免责声明：</w:t>
      </w:r>
    </w:p>
    <w:p w:rsidR="000B545F" w:rsidRPr="00B0577D" w:rsidRDefault="000B545F" w:rsidP="00B0577D">
      <w:pPr>
        <w:spacing w:line="480" w:lineRule="auto"/>
        <w:ind w:firstLineChars="200" w:firstLine="422"/>
        <w:rPr>
          <w:rFonts w:asciiTheme="minorEastAsia" w:hAnsiTheme="minorEastAsia"/>
          <w:b/>
          <w:sz w:val="21"/>
          <w:szCs w:val="21"/>
        </w:rPr>
      </w:pPr>
      <w:r w:rsidRPr="00B0577D">
        <w:rPr>
          <w:rFonts w:asciiTheme="minorEastAsia" w:hAnsiTheme="minorEastAsia"/>
          <w:b/>
          <w:sz w:val="21"/>
          <w:szCs w:val="21"/>
        </w:rPr>
        <w:t>本报告由上海朴石投资管理合伙企业</w:t>
      </w:r>
      <w:r w:rsidRPr="00B0577D">
        <w:rPr>
          <w:rFonts w:asciiTheme="minorEastAsia" w:hAnsiTheme="minorEastAsia" w:hint="eastAsia"/>
          <w:b/>
          <w:sz w:val="21"/>
          <w:szCs w:val="21"/>
        </w:rPr>
        <w:t>（有限</w:t>
      </w:r>
      <w:r w:rsidRPr="00B0577D">
        <w:rPr>
          <w:rFonts w:asciiTheme="minorEastAsia" w:hAnsiTheme="minorEastAsia"/>
          <w:b/>
          <w:sz w:val="21"/>
          <w:szCs w:val="21"/>
        </w:rPr>
        <w:t>合伙</w:t>
      </w:r>
      <w:r w:rsidRPr="00B0577D">
        <w:rPr>
          <w:rFonts w:asciiTheme="minorEastAsia" w:hAnsiTheme="minorEastAsia" w:hint="eastAsia"/>
          <w:b/>
          <w:sz w:val="21"/>
          <w:szCs w:val="21"/>
        </w:rPr>
        <w:t>）</w:t>
      </w:r>
      <w:r w:rsidRPr="00B0577D">
        <w:rPr>
          <w:rFonts w:asciiTheme="minorEastAsia" w:hAnsiTheme="minorEastAsia"/>
          <w:b/>
          <w:sz w:val="21"/>
          <w:szCs w:val="21"/>
        </w:rPr>
        <w:t>编写，</w:t>
      </w:r>
      <w:r w:rsidRPr="00B0577D">
        <w:rPr>
          <w:rFonts w:asciiTheme="minorEastAsia" w:hAnsiTheme="minorEastAsia" w:hint="eastAsia"/>
          <w:b/>
          <w:sz w:val="21"/>
          <w:szCs w:val="21"/>
        </w:rPr>
        <w:t>以下</w:t>
      </w:r>
      <w:r w:rsidRPr="00B0577D">
        <w:rPr>
          <w:rFonts w:asciiTheme="minorEastAsia" w:hAnsiTheme="minorEastAsia"/>
          <w:b/>
          <w:sz w:val="21"/>
          <w:szCs w:val="21"/>
        </w:rPr>
        <w:t>简称 “</w:t>
      </w:r>
      <w:r w:rsidRPr="00B0577D">
        <w:rPr>
          <w:rFonts w:asciiTheme="minorEastAsia" w:hAnsiTheme="minorEastAsia" w:hint="eastAsia"/>
          <w:b/>
          <w:sz w:val="21"/>
          <w:szCs w:val="21"/>
        </w:rPr>
        <w:t>本</w:t>
      </w:r>
      <w:r w:rsidRPr="00B0577D">
        <w:rPr>
          <w:rFonts w:asciiTheme="minorEastAsia" w:hAnsiTheme="minorEastAsia"/>
          <w:b/>
          <w:sz w:val="21"/>
          <w:szCs w:val="21"/>
        </w:rPr>
        <w:t>公司”</w:t>
      </w:r>
      <w:r w:rsidRPr="00B0577D">
        <w:rPr>
          <w:rFonts w:asciiTheme="minorEastAsia" w:hAnsiTheme="minorEastAsia" w:hint="eastAsia"/>
          <w:b/>
          <w:sz w:val="21"/>
          <w:szCs w:val="21"/>
        </w:rPr>
        <w:t>。</w:t>
      </w:r>
      <w:r w:rsidRPr="00B0577D">
        <w:rPr>
          <w:rFonts w:asciiTheme="minorEastAsia" w:hAnsiTheme="minorEastAsia"/>
          <w:b/>
          <w:sz w:val="21"/>
          <w:szCs w:val="21"/>
        </w:rPr>
        <w:t>未经</w:t>
      </w:r>
      <w:r w:rsidRPr="00B0577D">
        <w:rPr>
          <w:rFonts w:asciiTheme="minorEastAsia" w:hAnsiTheme="minorEastAsia" w:hint="eastAsia"/>
          <w:b/>
          <w:sz w:val="21"/>
          <w:szCs w:val="21"/>
        </w:rPr>
        <w:t>本公司</w:t>
      </w:r>
      <w:r w:rsidRPr="00B0577D">
        <w:rPr>
          <w:rFonts w:asciiTheme="minorEastAsia" w:hAnsiTheme="minorEastAsia"/>
          <w:b/>
          <w:sz w:val="21"/>
          <w:szCs w:val="21"/>
        </w:rPr>
        <w:t>授权，任何机构和个人不得以任何形式翻版、复印和发布。本报告的信息均来源于公开资料，</w:t>
      </w:r>
      <w:r w:rsidRPr="00B0577D">
        <w:rPr>
          <w:rFonts w:asciiTheme="minorEastAsia" w:hAnsiTheme="minorEastAsia" w:hint="eastAsia"/>
          <w:b/>
          <w:sz w:val="21"/>
          <w:szCs w:val="21"/>
        </w:rPr>
        <w:t>本</w:t>
      </w:r>
      <w:r w:rsidRPr="00B0577D">
        <w:rPr>
          <w:rFonts w:asciiTheme="minorEastAsia" w:hAnsiTheme="minorEastAsia"/>
          <w:b/>
          <w:sz w:val="21"/>
          <w:szCs w:val="21"/>
        </w:rPr>
        <w:t>公司对这些信息的准确性及完整性不作任何保证。因使用本报告或其内容而导致的任何直接或间接损失，</w:t>
      </w:r>
      <w:r w:rsidRPr="00B0577D">
        <w:rPr>
          <w:rFonts w:asciiTheme="minorEastAsia" w:hAnsiTheme="minorEastAsia" w:hint="eastAsia"/>
          <w:b/>
          <w:sz w:val="21"/>
          <w:szCs w:val="21"/>
        </w:rPr>
        <w:t>本</w:t>
      </w:r>
      <w:r w:rsidRPr="00B0577D">
        <w:rPr>
          <w:rFonts w:asciiTheme="minorEastAsia" w:hAnsiTheme="minorEastAsia"/>
          <w:b/>
          <w:sz w:val="21"/>
          <w:szCs w:val="21"/>
        </w:rPr>
        <w:t>公司不承担任何责任。</w:t>
      </w:r>
    </w:p>
    <w:p w:rsidR="00B92AA0" w:rsidRPr="00B0577D" w:rsidRDefault="00B92AA0" w:rsidP="00B0577D">
      <w:pPr>
        <w:spacing w:line="480" w:lineRule="auto"/>
        <w:rPr>
          <w:rFonts w:asciiTheme="minorEastAsia" w:hAnsiTheme="minorEastAsia"/>
          <w:sz w:val="28"/>
          <w:szCs w:val="28"/>
        </w:rPr>
      </w:pPr>
    </w:p>
    <w:sectPr w:rsidR="00B92AA0" w:rsidRPr="00B0577D" w:rsidSect="007B0EEF">
      <w:headerReference w:type="default" r:id="rId7"/>
      <w:footerReference w:type="default" r:id="rId8"/>
      <w:pgSz w:w="11906" w:h="16838"/>
      <w:pgMar w:top="1440" w:right="1800" w:bottom="1440" w:left="1800" w:header="850"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D8D" w:rsidRDefault="00B46D8D" w:rsidP="008F1B65">
      <w:r>
        <w:separator/>
      </w:r>
    </w:p>
  </w:endnote>
  <w:endnote w:type="continuationSeparator" w:id="0">
    <w:p w:rsidR="00B46D8D" w:rsidRDefault="00B46D8D" w:rsidP="008F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17" w:rsidRDefault="00B46D8D" w:rsidP="002F4817">
    <w:pPr>
      <w:spacing w:line="14" w:lineRule="auto"/>
      <w:rPr>
        <w:sz w:val="20"/>
        <w:szCs w:val="20"/>
      </w:rPr>
    </w:pPr>
    <w:r>
      <w:rPr>
        <w:noProof/>
      </w:rPr>
      <w:pict>
        <v:shapetype id="_x0000_t202" coordsize="21600,21600" o:spt="202" path="m,l,21600r21600,l21600,xe">
          <v:stroke joinstyle="miter"/>
          <v:path gradientshapeok="t" o:connecttype="rect"/>
        </v:shapetype>
        <v:shape id="文本框 1" o:spid="_x0000_s2049" type="#_x0000_t202" style="position:absolute;margin-left:92pt;margin-top:799.75pt;width:119pt;height:1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" filled="f" stroked="f">
          <v:textbox inset="0,0,0,0">
            <w:txbxContent>
              <w:p w:rsidR="002F4817" w:rsidRDefault="002F4817" w:rsidP="002F4817">
                <w:pPr>
                  <w:spacing w:line="209" w:lineRule="exact"/>
                  <w:ind w:left="20"/>
                  <w:rPr>
                    <w:rFonts w:ascii="Arial Unicode MS" w:eastAsia="Arial Unicode MS" w:hAnsi="Arial Unicode MS" w:cs="Arial Unicode MS"/>
                    <w:sz w:val="18"/>
                    <w:szCs w:val="18"/>
                  </w:rPr>
                </w:pPr>
                <w:r>
                  <w:rPr>
                    <w:rFonts w:ascii="Arial Unicode MS" w:eastAsia="Arial Unicode MS" w:hAnsi="Arial Unicode MS" w:cs="Arial Unicode MS"/>
                    <w:sz w:val="18"/>
                    <w:szCs w:val="18"/>
                  </w:rPr>
                  <w:t>敬请阅读报告结尾处免责声明</w:t>
                </w:r>
              </w:p>
            </w:txbxContent>
          </v:textbox>
          <w10:wrap anchorx="page" anchory="page"/>
        </v:shape>
      </w:pict>
    </w:r>
  </w:p>
  <w:p w:rsidR="009A69FA" w:rsidRDefault="009A69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D8D" w:rsidRDefault="00B46D8D" w:rsidP="008F1B65">
      <w:r>
        <w:separator/>
      </w:r>
    </w:p>
  </w:footnote>
  <w:footnote w:type="continuationSeparator" w:id="0">
    <w:p w:rsidR="00B46D8D" w:rsidRDefault="00B46D8D" w:rsidP="008F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65" w:rsidRPr="00DC75CD" w:rsidRDefault="007B0EEF" w:rsidP="007B0EEF">
    <w:pPr>
      <w:pStyle w:val="a3"/>
      <w:pBdr>
        <w:bottom w:val="single" w:sz="6" w:space="18" w:color="auto"/>
      </w:pBdr>
      <w:ind w:firstLineChars="100" w:firstLine="280"/>
      <w:jc w:val="left"/>
      <w:rPr>
        <w:rFonts w:asciiTheme="minorEastAsia" w:hAnsiTheme="minorEastAsia"/>
        <w:sz w:val="28"/>
        <w:szCs w:val="28"/>
      </w:rPr>
    </w:pPr>
    <w:r w:rsidRPr="00DC75CD">
      <w:rPr>
        <w:rFonts w:asciiTheme="minorEastAsia" w:hAnsiTheme="minorEastAsia"/>
        <w:noProof/>
        <w:sz w:val="28"/>
        <w:szCs w:val="28"/>
      </w:rPr>
      <w:drawing>
        <wp:anchor distT="0" distB="0" distL="114300" distR="114300" simplePos="0" relativeHeight="251657216" behindDoc="0" locked="0" layoutInCell="1" allowOverlap="1">
          <wp:simplePos x="0" y="0"/>
          <wp:positionH relativeFrom="column">
            <wp:posOffset>4133850</wp:posOffset>
          </wp:positionH>
          <wp:positionV relativeFrom="paragraph">
            <wp:posOffset>-47625</wp:posOffset>
          </wp:positionV>
          <wp:extent cx="1016000" cy="40830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6000" cy="408305"/>
                  </a:xfrm>
                  <a:prstGeom prst="rect">
                    <a:avLst/>
                  </a:prstGeom>
                </pic:spPr>
              </pic:pic>
            </a:graphicData>
          </a:graphic>
        </wp:anchor>
      </w:drawing>
    </w:r>
    <w:r w:rsidRPr="00DC75CD">
      <w:rPr>
        <w:rFonts w:asciiTheme="minorEastAsia" w:hAnsiTheme="minorEastAsia" w:hint="eastAsia"/>
        <w:sz w:val="28"/>
        <w:szCs w:val="28"/>
      </w:rPr>
      <w:t>投资</w:t>
    </w:r>
    <w:r w:rsidRPr="00DC75CD">
      <w:rPr>
        <w:rFonts w:asciiTheme="minorEastAsia" w:hAnsiTheme="minorEastAsia"/>
        <w:sz w:val="28"/>
        <w:szCs w:val="28"/>
      </w:rPr>
      <w:t>策略月度报告（</w:t>
    </w:r>
    <w:r w:rsidRPr="00DC75CD">
      <w:rPr>
        <w:rFonts w:asciiTheme="minorEastAsia" w:hAnsiTheme="minorEastAsia" w:hint="eastAsia"/>
        <w:sz w:val="28"/>
        <w:szCs w:val="28"/>
      </w:rPr>
      <w:t>2019年</w:t>
    </w:r>
    <w:r w:rsidR="00914C01">
      <w:rPr>
        <w:rFonts w:asciiTheme="minorEastAsia" w:hAnsiTheme="minorEastAsia" w:hint="eastAsia"/>
        <w:sz w:val="28"/>
        <w:szCs w:val="28"/>
      </w:rPr>
      <w:t>7月31日）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3E87"/>
    <w:rsid w:val="00014BEE"/>
    <w:rsid w:val="000234F9"/>
    <w:rsid w:val="00043201"/>
    <w:rsid w:val="0007573B"/>
    <w:rsid w:val="0008615F"/>
    <w:rsid w:val="000A2141"/>
    <w:rsid w:val="000B545F"/>
    <w:rsid w:val="000B7ABD"/>
    <w:rsid w:val="000D4D99"/>
    <w:rsid w:val="000D591B"/>
    <w:rsid w:val="000E125B"/>
    <w:rsid w:val="000E36B0"/>
    <w:rsid w:val="0011186B"/>
    <w:rsid w:val="00115A01"/>
    <w:rsid w:val="001164E3"/>
    <w:rsid w:val="0012311F"/>
    <w:rsid w:val="00123BE8"/>
    <w:rsid w:val="00125393"/>
    <w:rsid w:val="00175860"/>
    <w:rsid w:val="00191D90"/>
    <w:rsid w:val="001B5F7D"/>
    <w:rsid w:val="001C2E5A"/>
    <w:rsid w:val="001C77A4"/>
    <w:rsid w:val="001E7AA3"/>
    <w:rsid w:val="001F6F25"/>
    <w:rsid w:val="00205D16"/>
    <w:rsid w:val="00270615"/>
    <w:rsid w:val="002C45FD"/>
    <w:rsid w:val="002D249F"/>
    <w:rsid w:val="002F044B"/>
    <w:rsid w:val="002F4817"/>
    <w:rsid w:val="00301018"/>
    <w:rsid w:val="003029B7"/>
    <w:rsid w:val="0033128F"/>
    <w:rsid w:val="0037268E"/>
    <w:rsid w:val="003764AA"/>
    <w:rsid w:val="003918FD"/>
    <w:rsid w:val="003D33AF"/>
    <w:rsid w:val="003D4E4D"/>
    <w:rsid w:val="003D73B6"/>
    <w:rsid w:val="003E0EBE"/>
    <w:rsid w:val="003E6118"/>
    <w:rsid w:val="004232B3"/>
    <w:rsid w:val="00427904"/>
    <w:rsid w:val="00443A14"/>
    <w:rsid w:val="004615A6"/>
    <w:rsid w:val="00463E7E"/>
    <w:rsid w:val="00481BA8"/>
    <w:rsid w:val="004931BC"/>
    <w:rsid w:val="004B7FAF"/>
    <w:rsid w:val="004D551C"/>
    <w:rsid w:val="004F382F"/>
    <w:rsid w:val="004F4127"/>
    <w:rsid w:val="005440C8"/>
    <w:rsid w:val="0059650F"/>
    <w:rsid w:val="005B007A"/>
    <w:rsid w:val="005C13EC"/>
    <w:rsid w:val="005D73F2"/>
    <w:rsid w:val="00625C4F"/>
    <w:rsid w:val="006409E0"/>
    <w:rsid w:val="00654AB8"/>
    <w:rsid w:val="0065759B"/>
    <w:rsid w:val="00662B5B"/>
    <w:rsid w:val="00666864"/>
    <w:rsid w:val="006726CC"/>
    <w:rsid w:val="00674A05"/>
    <w:rsid w:val="006757AC"/>
    <w:rsid w:val="006949AF"/>
    <w:rsid w:val="006A4D49"/>
    <w:rsid w:val="006B2627"/>
    <w:rsid w:val="006B5DEB"/>
    <w:rsid w:val="006E4E7F"/>
    <w:rsid w:val="006F3EA9"/>
    <w:rsid w:val="007001A4"/>
    <w:rsid w:val="007015BB"/>
    <w:rsid w:val="00711D4F"/>
    <w:rsid w:val="00713BE5"/>
    <w:rsid w:val="0071452F"/>
    <w:rsid w:val="00736DFE"/>
    <w:rsid w:val="00757444"/>
    <w:rsid w:val="007659F4"/>
    <w:rsid w:val="00772584"/>
    <w:rsid w:val="00782B09"/>
    <w:rsid w:val="00786FB4"/>
    <w:rsid w:val="007951E9"/>
    <w:rsid w:val="007B0EEF"/>
    <w:rsid w:val="007C0CA9"/>
    <w:rsid w:val="007D6340"/>
    <w:rsid w:val="00811DFA"/>
    <w:rsid w:val="00820785"/>
    <w:rsid w:val="00823E87"/>
    <w:rsid w:val="00840E2E"/>
    <w:rsid w:val="00871AB4"/>
    <w:rsid w:val="0087581E"/>
    <w:rsid w:val="008B34CB"/>
    <w:rsid w:val="008C44AF"/>
    <w:rsid w:val="008E69D7"/>
    <w:rsid w:val="008F1B65"/>
    <w:rsid w:val="00900865"/>
    <w:rsid w:val="00914C01"/>
    <w:rsid w:val="00915CDD"/>
    <w:rsid w:val="00917841"/>
    <w:rsid w:val="009230B8"/>
    <w:rsid w:val="009260B1"/>
    <w:rsid w:val="0098241D"/>
    <w:rsid w:val="0098698C"/>
    <w:rsid w:val="009A3027"/>
    <w:rsid w:val="009A69FA"/>
    <w:rsid w:val="009F3BA1"/>
    <w:rsid w:val="00A04ED0"/>
    <w:rsid w:val="00A11383"/>
    <w:rsid w:val="00A313E8"/>
    <w:rsid w:val="00A3510F"/>
    <w:rsid w:val="00A5092E"/>
    <w:rsid w:val="00AA2B4E"/>
    <w:rsid w:val="00AD68DA"/>
    <w:rsid w:val="00AF731C"/>
    <w:rsid w:val="00B00BC3"/>
    <w:rsid w:val="00B0577D"/>
    <w:rsid w:val="00B21298"/>
    <w:rsid w:val="00B329AF"/>
    <w:rsid w:val="00B46D8D"/>
    <w:rsid w:val="00B539DB"/>
    <w:rsid w:val="00B64537"/>
    <w:rsid w:val="00B80705"/>
    <w:rsid w:val="00B85F75"/>
    <w:rsid w:val="00B92AA0"/>
    <w:rsid w:val="00BA3791"/>
    <w:rsid w:val="00BA4DB0"/>
    <w:rsid w:val="00BD53E3"/>
    <w:rsid w:val="00BE0BBA"/>
    <w:rsid w:val="00C01B7F"/>
    <w:rsid w:val="00C15395"/>
    <w:rsid w:val="00C32BE0"/>
    <w:rsid w:val="00C4630D"/>
    <w:rsid w:val="00C54D0D"/>
    <w:rsid w:val="00C852BF"/>
    <w:rsid w:val="00C92FEB"/>
    <w:rsid w:val="00CA4C85"/>
    <w:rsid w:val="00CB3E61"/>
    <w:rsid w:val="00CB44A6"/>
    <w:rsid w:val="00CB699A"/>
    <w:rsid w:val="00CC2038"/>
    <w:rsid w:val="00CC49AC"/>
    <w:rsid w:val="00CE0555"/>
    <w:rsid w:val="00CF1803"/>
    <w:rsid w:val="00D0269F"/>
    <w:rsid w:val="00D03486"/>
    <w:rsid w:val="00D6486B"/>
    <w:rsid w:val="00D64E22"/>
    <w:rsid w:val="00D67601"/>
    <w:rsid w:val="00D72740"/>
    <w:rsid w:val="00D931D2"/>
    <w:rsid w:val="00D961D8"/>
    <w:rsid w:val="00DC05AF"/>
    <w:rsid w:val="00DC75CD"/>
    <w:rsid w:val="00E01610"/>
    <w:rsid w:val="00E648AF"/>
    <w:rsid w:val="00E71C77"/>
    <w:rsid w:val="00E74E2B"/>
    <w:rsid w:val="00E849D8"/>
    <w:rsid w:val="00EC27F9"/>
    <w:rsid w:val="00EF4320"/>
    <w:rsid w:val="00F76B94"/>
    <w:rsid w:val="00F82B4B"/>
    <w:rsid w:val="00F90CCE"/>
    <w:rsid w:val="00F9219B"/>
    <w:rsid w:val="00FB36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F32A90"/>
  <w15:docId w15:val="{E4F812E4-FA64-4789-B5E1-C47C5E78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9FA"/>
    <w:rPr>
      <w:sz w:val="24"/>
      <w:szCs w:val="24"/>
    </w:rPr>
  </w:style>
  <w:style w:type="paragraph" w:styleId="1">
    <w:name w:val="heading 1"/>
    <w:basedOn w:val="a"/>
    <w:next w:val="a"/>
    <w:link w:val="10"/>
    <w:uiPriority w:val="9"/>
    <w:qFormat/>
    <w:rsid w:val="009A69F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A69F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A69F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A69FA"/>
    <w:pPr>
      <w:keepNext/>
      <w:spacing w:before="240" w:after="60"/>
      <w:outlineLvl w:val="3"/>
    </w:pPr>
    <w:rPr>
      <w:b/>
      <w:bCs/>
      <w:sz w:val="28"/>
      <w:szCs w:val="28"/>
    </w:rPr>
  </w:style>
  <w:style w:type="paragraph" w:styleId="5">
    <w:name w:val="heading 5"/>
    <w:basedOn w:val="a"/>
    <w:next w:val="a"/>
    <w:link w:val="50"/>
    <w:uiPriority w:val="9"/>
    <w:semiHidden/>
    <w:unhideWhenUsed/>
    <w:qFormat/>
    <w:rsid w:val="009A69FA"/>
    <w:pPr>
      <w:spacing w:before="240" w:after="60"/>
      <w:outlineLvl w:val="4"/>
    </w:pPr>
    <w:rPr>
      <w:b/>
      <w:bCs/>
      <w:i/>
      <w:iCs/>
      <w:sz w:val="26"/>
      <w:szCs w:val="26"/>
    </w:rPr>
  </w:style>
  <w:style w:type="paragraph" w:styleId="6">
    <w:name w:val="heading 6"/>
    <w:basedOn w:val="a"/>
    <w:next w:val="a"/>
    <w:link w:val="60"/>
    <w:uiPriority w:val="9"/>
    <w:semiHidden/>
    <w:unhideWhenUsed/>
    <w:qFormat/>
    <w:rsid w:val="009A69FA"/>
    <w:pPr>
      <w:spacing w:before="240" w:after="60"/>
      <w:outlineLvl w:val="5"/>
    </w:pPr>
    <w:rPr>
      <w:b/>
      <w:bCs/>
      <w:sz w:val="22"/>
      <w:szCs w:val="22"/>
    </w:rPr>
  </w:style>
  <w:style w:type="paragraph" w:styleId="7">
    <w:name w:val="heading 7"/>
    <w:basedOn w:val="a"/>
    <w:next w:val="a"/>
    <w:link w:val="70"/>
    <w:uiPriority w:val="9"/>
    <w:semiHidden/>
    <w:unhideWhenUsed/>
    <w:qFormat/>
    <w:rsid w:val="009A69FA"/>
    <w:pPr>
      <w:spacing w:before="240" w:after="60"/>
      <w:outlineLvl w:val="6"/>
    </w:pPr>
  </w:style>
  <w:style w:type="paragraph" w:styleId="8">
    <w:name w:val="heading 8"/>
    <w:basedOn w:val="a"/>
    <w:next w:val="a"/>
    <w:link w:val="80"/>
    <w:uiPriority w:val="9"/>
    <w:semiHidden/>
    <w:unhideWhenUsed/>
    <w:qFormat/>
    <w:rsid w:val="009A69FA"/>
    <w:pPr>
      <w:spacing w:before="240" w:after="60"/>
      <w:outlineLvl w:val="7"/>
    </w:pPr>
    <w:rPr>
      <w:i/>
      <w:iCs/>
    </w:rPr>
  </w:style>
  <w:style w:type="paragraph" w:styleId="9">
    <w:name w:val="heading 9"/>
    <w:basedOn w:val="a"/>
    <w:next w:val="a"/>
    <w:link w:val="90"/>
    <w:uiPriority w:val="9"/>
    <w:semiHidden/>
    <w:unhideWhenUsed/>
    <w:qFormat/>
    <w:rsid w:val="009A69F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B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1B65"/>
    <w:rPr>
      <w:sz w:val="18"/>
      <w:szCs w:val="18"/>
    </w:rPr>
  </w:style>
  <w:style w:type="paragraph" w:styleId="a5">
    <w:name w:val="footer"/>
    <w:basedOn w:val="a"/>
    <w:link w:val="a6"/>
    <w:uiPriority w:val="99"/>
    <w:unhideWhenUsed/>
    <w:rsid w:val="008F1B65"/>
    <w:pPr>
      <w:tabs>
        <w:tab w:val="center" w:pos="4153"/>
        <w:tab w:val="right" w:pos="8306"/>
      </w:tabs>
      <w:snapToGrid w:val="0"/>
    </w:pPr>
    <w:rPr>
      <w:sz w:val="18"/>
      <w:szCs w:val="18"/>
    </w:rPr>
  </w:style>
  <w:style w:type="character" w:customStyle="1" w:styleId="a6">
    <w:name w:val="页脚 字符"/>
    <w:basedOn w:val="a0"/>
    <w:link w:val="a5"/>
    <w:uiPriority w:val="99"/>
    <w:rsid w:val="008F1B65"/>
    <w:rPr>
      <w:sz w:val="18"/>
      <w:szCs w:val="18"/>
    </w:rPr>
  </w:style>
  <w:style w:type="character" w:customStyle="1" w:styleId="10">
    <w:name w:val="标题 1 字符"/>
    <w:basedOn w:val="a0"/>
    <w:link w:val="1"/>
    <w:uiPriority w:val="9"/>
    <w:rsid w:val="009A69FA"/>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9A69FA"/>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9A69FA"/>
    <w:rPr>
      <w:rFonts w:asciiTheme="majorHAnsi" w:eastAsiaTheme="majorEastAsia" w:hAnsiTheme="majorHAnsi"/>
      <w:b/>
      <w:bCs/>
      <w:sz w:val="26"/>
      <w:szCs w:val="26"/>
    </w:rPr>
  </w:style>
  <w:style w:type="character" w:customStyle="1" w:styleId="40">
    <w:name w:val="标题 4 字符"/>
    <w:basedOn w:val="a0"/>
    <w:link w:val="4"/>
    <w:uiPriority w:val="9"/>
    <w:semiHidden/>
    <w:rsid w:val="009A69FA"/>
    <w:rPr>
      <w:b/>
      <w:bCs/>
      <w:sz w:val="28"/>
      <w:szCs w:val="28"/>
    </w:rPr>
  </w:style>
  <w:style w:type="character" w:customStyle="1" w:styleId="50">
    <w:name w:val="标题 5 字符"/>
    <w:basedOn w:val="a0"/>
    <w:link w:val="5"/>
    <w:uiPriority w:val="9"/>
    <w:semiHidden/>
    <w:rsid w:val="009A69FA"/>
    <w:rPr>
      <w:b/>
      <w:bCs/>
      <w:i/>
      <w:iCs/>
      <w:sz w:val="26"/>
      <w:szCs w:val="26"/>
    </w:rPr>
  </w:style>
  <w:style w:type="character" w:customStyle="1" w:styleId="60">
    <w:name w:val="标题 6 字符"/>
    <w:basedOn w:val="a0"/>
    <w:link w:val="6"/>
    <w:uiPriority w:val="9"/>
    <w:semiHidden/>
    <w:rsid w:val="009A69FA"/>
    <w:rPr>
      <w:b/>
      <w:bCs/>
    </w:rPr>
  </w:style>
  <w:style w:type="character" w:customStyle="1" w:styleId="70">
    <w:name w:val="标题 7 字符"/>
    <w:basedOn w:val="a0"/>
    <w:link w:val="7"/>
    <w:uiPriority w:val="9"/>
    <w:semiHidden/>
    <w:rsid w:val="009A69FA"/>
    <w:rPr>
      <w:sz w:val="24"/>
      <w:szCs w:val="24"/>
    </w:rPr>
  </w:style>
  <w:style w:type="character" w:customStyle="1" w:styleId="80">
    <w:name w:val="标题 8 字符"/>
    <w:basedOn w:val="a0"/>
    <w:link w:val="8"/>
    <w:uiPriority w:val="9"/>
    <w:semiHidden/>
    <w:rsid w:val="009A69FA"/>
    <w:rPr>
      <w:i/>
      <w:iCs/>
      <w:sz w:val="24"/>
      <w:szCs w:val="24"/>
    </w:rPr>
  </w:style>
  <w:style w:type="character" w:customStyle="1" w:styleId="90">
    <w:name w:val="标题 9 字符"/>
    <w:basedOn w:val="a0"/>
    <w:link w:val="9"/>
    <w:uiPriority w:val="9"/>
    <w:semiHidden/>
    <w:rsid w:val="009A69FA"/>
    <w:rPr>
      <w:rFonts w:asciiTheme="majorHAnsi" w:eastAsiaTheme="majorEastAsia" w:hAnsiTheme="majorHAnsi"/>
    </w:rPr>
  </w:style>
  <w:style w:type="paragraph" w:styleId="a7">
    <w:name w:val="Title"/>
    <w:basedOn w:val="a"/>
    <w:next w:val="a"/>
    <w:link w:val="a8"/>
    <w:uiPriority w:val="10"/>
    <w:qFormat/>
    <w:rsid w:val="009A69FA"/>
    <w:pPr>
      <w:spacing w:before="240" w:after="60"/>
      <w:jc w:val="center"/>
      <w:outlineLvl w:val="0"/>
    </w:pPr>
    <w:rPr>
      <w:rFonts w:asciiTheme="majorHAnsi" w:eastAsiaTheme="majorEastAsia" w:hAnsiTheme="majorHAnsi"/>
      <w:b/>
      <w:bCs/>
      <w:kern w:val="28"/>
      <w:sz w:val="32"/>
      <w:szCs w:val="32"/>
    </w:rPr>
  </w:style>
  <w:style w:type="character" w:customStyle="1" w:styleId="a8">
    <w:name w:val="标题 字符"/>
    <w:basedOn w:val="a0"/>
    <w:link w:val="a7"/>
    <w:uiPriority w:val="10"/>
    <w:rsid w:val="009A69FA"/>
    <w:rPr>
      <w:rFonts w:asciiTheme="majorHAnsi" w:eastAsiaTheme="majorEastAsia" w:hAnsiTheme="majorHAnsi"/>
      <w:b/>
      <w:bCs/>
      <w:kern w:val="28"/>
      <w:sz w:val="32"/>
      <w:szCs w:val="32"/>
    </w:rPr>
  </w:style>
  <w:style w:type="paragraph" w:styleId="a9">
    <w:name w:val="Subtitle"/>
    <w:basedOn w:val="a"/>
    <w:next w:val="a"/>
    <w:link w:val="aa"/>
    <w:uiPriority w:val="11"/>
    <w:qFormat/>
    <w:rsid w:val="009A69FA"/>
    <w:pPr>
      <w:spacing w:after="60"/>
      <w:jc w:val="center"/>
      <w:outlineLvl w:val="1"/>
    </w:pPr>
    <w:rPr>
      <w:rFonts w:asciiTheme="majorHAnsi" w:eastAsiaTheme="majorEastAsia" w:hAnsiTheme="majorHAnsi"/>
    </w:rPr>
  </w:style>
  <w:style w:type="character" w:customStyle="1" w:styleId="aa">
    <w:name w:val="副标题 字符"/>
    <w:basedOn w:val="a0"/>
    <w:link w:val="a9"/>
    <w:uiPriority w:val="11"/>
    <w:rsid w:val="009A69FA"/>
    <w:rPr>
      <w:rFonts w:asciiTheme="majorHAnsi" w:eastAsiaTheme="majorEastAsia" w:hAnsiTheme="majorHAnsi"/>
      <w:sz w:val="24"/>
      <w:szCs w:val="24"/>
    </w:rPr>
  </w:style>
  <w:style w:type="character" w:styleId="ab">
    <w:name w:val="Strong"/>
    <w:basedOn w:val="a0"/>
    <w:uiPriority w:val="22"/>
    <w:qFormat/>
    <w:rsid w:val="009A69FA"/>
    <w:rPr>
      <w:b/>
      <w:bCs/>
    </w:rPr>
  </w:style>
  <w:style w:type="character" w:styleId="ac">
    <w:name w:val="Emphasis"/>
    <w:basedOn w:val="a0"/>
    <w:uiPriority w:val="20"/>
    <w:qFormat/>
    <w:rsid w:val="009A69FA"/>
    <w:rPr>
      <w:rFonts w:asciiTheme="minorHAnsi" w:hAnsiTheme="minorHAnsi"/>
      <w:b/>
      <w:i/>
      <w:iCs/>
    </w:rPr>
  </w:style>
  <w:style w:type="paragraph" w:styleId="ad">
    <w:name w:val="No Spacing"/>
    <w:basedOn w:val="a"/>
    <w:uiPriority w:val="1"/>
    <w:qFormat/>
    <w:rsid w:val="009A69FA"/>
    <w:rPr>
      <w:szCs w:val="32"/>
    </w:rPr>
  </w:style>
  <w:style w:type="paragraph" w:styleId="ae">
    <w:name w:val="List Paragraph"/>
    <w:basedOn w:val="a"/>
    <w:uiPriority w:val="34"/>
    <w:qFormat/>
    <w:rsid w:val="009A69FA"/>
    <w:pPr>
      <w:ind w:left="720"/>
      <w:contextualSpacing/>
    </w:pPr>
  </w:style>
  <w:style w:type="paragraph" w:styleId="af">
    <w:name w:val="Quote"/>
    <w:basedOn w:val="a"/>
    <w:next w:val="a"/>
    <w:link w:val="af0"/>
    <w:uiPriority w:val="29"/>
    <w:qFormat/>
    <w:rsid w:val="009A69FA"/>
    <w:rPr>
      <w:i/>
    </w:rPr>
  </w:style>
  <w:style w:type="character" w:customStyle="1" w:styleId="af0">
    <w:name w:val="引用 字符"/>
    <w:basedOn w:val="a0"/>
    <w:link w:val="af"/>
    <w:uiPriority w:val="29"/>
    <w:rsid w:val="009A69FA"/>
    <w:rPr>
      <w:i/>
      <w:sz w:val="24"/>
      <w:szCs w:val="24"/>
    </w:rPr>
  </w:style>
  <w:style w:type="paragraph" w:styleId="af1">
    <w:name w:val="Intense Quote"/>
    <w:basedOn w:val="a"/>
    <w:next w:val="a"/>
    <w:link w:val="af2"/>
    <w:uiPriority w:val="30"/>
    <w:qFormat/>
    <w:rsid w:val="009A69FA"/>
    <w:pPr>
      <w:ind w:left="720" w:right="720"/>
    </w:pPr>
    <w:rPr>
      <w:b/>
      <w:i/>
      <w:szCs w:val="22"/>
    </w:rPr>
  </w:style>
  <w:style w:type="character" w:customStyle="1" w:styleId="af2">
    <w:name w:val="明显引用 字符"/>
    <w:basedOn w:val="a0"/>
    <w:link w:val="af1"/>
    <w:uiPriority w:val="30"/>
    <w:rsid w:val="009A69FA"/>
    <w:rPr>
      <w:b/>
      <w:i/>
      <w:sz w:val="24"/>
    </w:rPr>
  </w:style>
  <w:style w:type="character" w:styleId="af3">
    <w:name w:val="Subtle Emphasis"/>
    <w:uiPriority w:val="19"/>
    <w:qFormat/>
    <w:rsid w:val="009A69FA"/>
    <w:rPr>
      <w:i/>
      <w:color w:val="5A5A5A" w:themeColor="text1" w:themeTint="A5"/>
    </w:rPr>
  </w:style>
  <w:style w:type="character" w:styleId="af4">
    <w:name w:val="Intense Emphasis"/>
    <w:basedOn w:val="a0"/>
    <w:uiPriority w:val="21"/>
    <w:qFormat/>
    <w:rsid w:val="009A69FA"/>
    <w:rPr>
      <w:b/>
      <w:i/>
      <w:sz w:val="24"/>
      <w:szCs w:val="24"/>
      <w:u w:val="single"/>
    </w:rPr>
  </w:style>
  <w:style w:type="character" w:styleId="af5">
    <w:name w:val="Subtle Reference"/>
    <w:basedOn w:val="a0"/>
    <w:uiPriority w:val="31"/>
    <w:qFormat/>
    <w:rsid w:val="009A69FA"/>
    <w:rPr>
      <w:sz w:val="24"/>
      <w:szCs w:val="24"/>
      <w:u w:val="single"/>
    </w:rPr>
  </w:style>
  <w:style w:type="character" w:styleId="af6">
    <w:name w:val="Intense Reference"/>
    <w:basedOn w:val="a0"/>
    <w:uiPriority w:val="32"/>
    <w:qFormat/>
    <w:rsid w:val="009A69FA"/>
    <w:rPr>
      <w:b/>
      <w:sz w:val="24"/>
      <w:u w:val="single"/>
    </w:rPr>
  </w:style>
  <w:style w:type="character" w:styleId="af7">
    <w:name w:val="Book Title"/>
    <w:basedOn w:val="a0"/>
    <w:uiPriority w:val="33"/>
    <w:qFormat/>
    <w:rsid w:val="009A69F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9A69FA"/>
    <w:pPr>
      <w:outlineLvl w:val="9"/>
    </w:pPr>
  </w:style>
  <w:style w:type="paragraph" w:styleId="af8">
    <w:name w:val="Normal (Web)"/>
    <w:basedOn w:val="a"/>
    <w:uiPriority w:val="99"/>
    <w:unhideWhenUsed/>
    <w:qFormat/>
    <w:rsid w:val="000B545F"/>
    <w:pPr>
      <w:spacing w:before="100" w:beforeAutospacing="1" w:after="100" w:afterAutospacing="1"/>
    </w:pPr>
    <w:rPr>
      <w:rFonts w:ascii="宋体" w:eastAsia="宋体" w:hAnsi="宋体" w:cs="宋体"/>
    </w:rPr>
  </w:style>
  <w:style w:type="paragraph" w:styleId="af9">
    <w:name w:val="Balloon Text"/>
    <w:basedOn w:val="a"/>
    <w:link w:val="afa"/>
    <w:uiPriority w:val="99"/>
    <w:semiHidden/>
    <w:unhideWhenUsed/>
    <w:rsid w:val="00D6486B"/>
    <w:rPr>
      <w:sz w:val="18"/>
      <w:szCs w:val="18"/>
    </w:rPr>
  </w:style>
  <w:style w:type="character" w:customStyle="1" w:styleId="afa">
    <w:name w:val="批注框文本 字符"/>
    <w:basedOn w:val="a0"/>
    <w:link w:val="af9"/>
    <w:uiPriority w:val="99"/>
    <w:semiHidden/>
    <w:rsid w:val="00D648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1345</Words>
  <Characters>1440</Characters>
  <Application>Microsoft Office Word</Application>
  <DocSecurity>0</DocSecurity>
  <Lines>65</Lines>
  <Paragraphs>29</Paragraphs>
  <ScaleCrop>false</ScaleCrop>
  <Company>MS</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投资策略月度报告 （2019年1月31日）</dc:title>
  <dc:creator>postone-02</dc:creator>
  <cp:lastModifiedBy>postone01</cp:lastModifiedBy>
  <cp:revision>29</cp:revision>
  <cp:lastPrinted>2019-08-04T07:44:00Z</cp:lastPrinted>
  <dcterms:created xsi:type="dcterms:W3CDTF">2019-08-03T11:36:00Z</dcterms:created>
  <dcterms:modified xsi:type="dcterms:W3CDTF">2019-08-04T07:49:00Z</dcterms:modified>
</cp:coreProperties>
</file>