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17" w:rsidRPr="00B0577D" w:rsidRDefault="002F4817" w:rsidP="00B0577D">
      <w:pPr>
        <w:spacing w:line="480" w:lineRule="auto"/>
        <w:rPr>
          <w:rFonts w:asciiTheme="minorEastAsia" w:hAnsiTheme="minorEastAsia"/>
          <w:b/>
          <w:bCs/>
          <w:sz w:val="30"/>
          <w:szCs w:val="30"/>
        </w:rPr>
      </w:pPr>
      <w:r w:rsidRPr="00B0577D">
        <w:rPr>
          <w:rFonts w:asciiTheme="minorEastAsia" w:hAnsiTheme="minorEastAsia"/>
          <w:noProof/>
          <w:position w:val="-13"/>
          <w:sz w:val="30"/>
          <w:szCs w:val="30"/>
        </w:rPr>
        <mc:AlternateContent>
          <mc:Choice Requires="wps">
            <w:drawing>
              <wp:inline distT="0" distB="0" distL="114300" distR="114300" wp14:anchorId="12B00143" wp14:editId="052D186C">
                <wp:extent cx="5210175" cy="438150"/>
                <wp:effectExtent l="0" t="0" r="9525" b="0"/>
                <wp:docPr id="2" name="文本框 4"/>
                <wp:cNvGraphicFramePr/>
                <a:graphic xmlns:a="http://schemas.openxmlformats.org/drawingml/2006/main">
                  <a:graphicData uri="http://schemas.microsoft.com/office/word/2010/wordprocessingShape">
                    <wps:wsp>
                      <wps:cNvSpPr txBox="1"/>
                      <wps:spPr>
                        <a:xfrm>
                          <a:off x="0" y="0"/>
                          <a:ext cx="5210175" cy="438150"/>
                        </a:xfrm>
                        <a:prstGeom prst="rect">
                          <a:avLst/>
                        </a:prstGeom>
                        <a:solidFill>
                          <a:srgbClr val="7E7E7E"/>
                        </a:solidFill>
                        <a:ln w="9525">
                          <a:noFill/>
                        </a:ln>
                      </wps:spPr>
                      <wps:txbx>
                        <w:txbxContent>
                          <w:p w:rsidR="002F4817" w:rsidRPr="00C55D71" w:rsidRDefault="002F4817" w:rsidP="002F4817">
                            <w:pPr>
                              <w:spacing w:before="83"/>
                              <w:ind w:left="1"/>
                              <w:jc w:val="center"/>
                              <w:rPr>
                                <w:rFonts w:ascii="微软雅黑" w:eastAsia="微软雅黑" w:hAnsi="微软雅黑" w:cs="微软雅黑"/>
                                <w:b/>
                                <w:bCs/>
                                <w:i/>
                                <w:color w:val="FFFFFF"/>
                                <w:w w:val="96"/>
                                <w:sz w:val="36"/>
                                <w:szCs w:val="36"/>
                              </w:rPr>
                            </w:pPr>
                            <w:r w:rsidRPr="00C55D71">
                              <w:rPr>
                                <w:rFonts w:ascii="微软雅黑" w:eastAsia="微软雅黑" w:hAnsi="微软雅黑" w:cs="微软雅黑"/>
                                <w:b/>
                                <w:bCs/>
                                <w:i/>
                                <w:color w:val="FFFFFF"/>
                                <w:w w:val="96"/>
                                <w:sz w:val="36"/>
                                <w:szCs w:val="36"/>
                              </w:rPr>
                              <w:t>市场回顾</w:t>
                            </w:r>
                            <w:r w:rsidRPr="00C55D71">
                              <w:rPr>
                                <w:rFonts w:ascii="微软雅黑" w:eastAsia="微软雅黑" w:hAnsi="微软雅黑" w:cs="微软雅黑" w:hint="eastAsia"/>
                                <w:b/>
                                <w:bCs/>
                                <w:i/>
                                <w:color w:val="FFFFFF"/>
                                <w:w w:val="96"/>
                                <w:sz w:val="36"/>
                                <w:szCs w:val="36"/>
                              </w:rPr>
                              <w:t>及宏观</w:t>
                            </w:r>
                          </w:p>
                        </w:txbxContent>
                      </wps:txbx>
                      <wps:bodyPr lIns="0" tIns="0" rIns="0" bIns="0" upright="1"/>
                    </wps:wsp>
                  </a:graphicData>
                </a:graphic>
              </wp:inline>
            </w:drawing>
          </mc:Choice>
          <mc:Fallback>
            <w:pict>
              <v:shapetype w14:anchorId="12B00143" id="_x0000_t202" coordsize="21600,21600" o:spt="202" path="m,l,21600r21600,l21600,xe">
                <v:stroke joinstyle="miter"/>
                <v:path gradientshapeok="t" o:connecttype="rect"/>
              </v:shapetype>
              <v:shape id="文本框 4" o:spid="_x0000_s1026" type="#_x0000_t202" style="width:410.2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" fillcolor="#7e7e7e" stroked="f">
                <v:textbox inset="0,0,0,0">
                  <w:txbxContent>
                    <w:p w:rsidR="002F4817" w:rsidRPr="00C55D71" w:rsidRDefault="002F4817" w:rsidP="002F4817">
                      <w:pPr>
                        <w:spacing w:before="83"/>
                        <w:ind w:left="1"/>
                        <w:jc w:val="center"/>
                        <w:rPr>
                          <w:rFonts w:ascii="微软雅黑" w:eastAsia="微软雅黑" w:hAnsi="微软雅黑" w:cs="微软雅黑"/>
                          <w:b/>
                          <w:bCs/>
                          <w:i/>
                          <w:color w:val="FFFFFF"/>
                          <w:w w:val="96"/>
                          <w:sz w:val="36"/>
                          <w:szCs w:val="36"/>
                        </w:rPr>
                      </w:pPr>
                      <w:r w:rsidRPr="00C55D71">
                        <w:rPr>
                          <w:rFonts w:ascii="微软雅黑" w:eastAsia="微软雅黑" w:hAnsi="微软雅黑" w:cs="微软雅黑"/>
                          <w:b/>
                          <w:bCs/>
                          <w:i/>
                          <w:color w:val="FFFFFF"/>
                          <w:w w:val="96"/>
                          <w:sz w:val="36"/>
                          <w:szCs w:val="36"/>
                        </w:rPr>
                        <w:t>市场回顾</w:t>
                      </w:r>
                      <w:r w:rsidRPr="00C55D71">
                        <w:rPr>
                          <w:rFonts w:ascii="微软雅黑" w:eastAsia="微软雅黑" w:hAnsi="微软雅黑" w:cs="微软雅黑" w:hint="eastAsia"/>
                          <w:b/>
                          <w:bCs/>
                          <w:i/>
                          <w:color w:val="FFFFFF"/>
                          <w:w w:val="96"/>
                          <w:sz w:val="36"/>
                          <w:szCs w:val="36"/>
                        </w:rPr>
                        <w:t>及宏观</w:t>
                      </w:r>
                    </w:p>
                  </w:txbxContent>
                </v:textbox>
                <w10:anchorlock/>
              </v:shape>
            </w:pict>
          </mc:Fallback>
        </mc:AlternateContent>
      </w:r>
    </w:p>
    <w:p w:rsidR="00AF0326" w:rsidRPr="00950DDF" w:rsidRDefault="00027154" w:rsidP="00B0577D">
      <w:pPr>
        <w:spacing w:line="480" w:lineRule="auto"/>
        <w:ind w:firstLineChars="200" w:firstLine="602"/>
        <w:rPr>
          <w:rFonts w:ascii="宋体" w:eastAsia="宋体" w:hAnsi="宋体"/>
          <w:sz w:val="30"/>
          <w:szCs w:val="30"/>
        </w:rPr>
      </w:pPr>
      <w:r w:rsidRPr="009B095A">
        <w:rPr>
          <w:rFonts w:asciiTheme="minorEastAsia" w:hAnsiTheme="minorEastAsia" w:hint="eastAsia"/>
          <w:b/>
          <w:color w:val="000000" w:themeColor="text1"/>
          <w:sz w:val="30"/>
          <w:szCs w:val="30"/>
          <w:shd w:val="clear" w:color="auto" w:fill="FFFFFF"/>
        </w:rPr>
        <w:t>本月A股市场区间震荡，</w:t>
      </w:r>
      <w:r w:rsidRPr="009B095A">
        <w:rPr>
          <w:rFonts w:asciiTheme="minorEastAsia" w:hAnsiTheme="minorEastAsia"/>
          <w:b/>
          <w:color w:val="000000" w:themeColor="text1"/>
          <w:sz w:val="30"/>
          <w:szCs w:val="30"/>
          <w:shd w:val="clear" w:color="auto" w:fill="FFFFFF"/>
        </w:rPr>
        <w:t>整体</w:t>
      </w:r>
      <w:r w:rsidR="003D7A63" w:rsidRPr="009B095A">
        <w:rPr>
          <w:rFonts w:asciiTheme="minorEastAsia" w:hAnsiTheme="minorEastAsia" w:hint="eastAsia"/>
          <w:b/>
          <w:color w:val="000000" w:themeColor="text1"/>
          <w:sz w:val="30"/>
          <w:szCs w:val="30"/>
          <w:shd w:val="clear" w:color="auto" w:fill="FFFFFF"/>
        </w:rPr>
        <w:t>上</w:t>
      </w:r>
      <w:r w:rsidRPr="009B095A">
        <w:rPr>
          <w:rFonts w:asciiTheme="minorEastAsia" w:hAnsiTheme="minorEastAsia"/>
          <w:b/>
          <w:color w:val="000000" w:themeColor="text1"/>
          <w:sz w:val="30"/>
          <w:szCs w:val="30"/>
          <w:shd w:val="clear" w:color="auto" w:fill="FFFFFF"/>
        </w:rPr>
        <w:t>行</w:t>
      </w:r>
      <w:r w:rsidRPr="009B095A">
        <w:rPr>
          <w:rFonts w:ascii="宋体" w:eastAsia="宋体" w:hAnsi="宋体"/>
          <w:b/>
          <w:sz w:val="30"/>
          <w:szCs w:val="30"/>
        </w:rPr>
        <w:t>。</w:t>
      </w:r>
      <w:r w:rsidRPr="006037DF">
        <w:rPr>
          <w:rFonts w:ascii="宋体" w:eastAsia="宋体" w:hAnsi="宋体" w:hint="eastAsia"/>
          <w:sz w:val="30"/>
          <w:szCs w:val="30"/>
        </w:rPr>
        <w:t>截至</w:t>
      </w:r>
      <w:r w:rsidR="003D7A63">
        <w:rPr>
          <w:rFonts w:ascii="宋体" w:eastAsia="宋体" w:hAnsi="宋体"/>
          <w:sz w:val="30"/>
          <w:szCs w:val="30"/>
        </w:rPr>
        <w:t>6</w:t>
      </w:r>
      <w:r w:rsidR="004E46F0">
        <w:rPr>
          <w:rFonts w:ascii="宋体" w:eastAsia="宋体" w:hAnsi="宋体" w:hint="eastAsia"/>
          <w:sz w:val="30"/>
          <w:szCs w:val="30"/>
        </w:rPr>
        <w:t>月</w:t>
      </w:r>
      <w:r w:rsidR="003D7A63">
        <w:rPr>
          <w:rFonts w:ascii="宋体" w:eastAsia="宋体" w:hAnsi="宋体"/>
          <w:sz w:val="30"/>
          <w:szCs w:val="30"/>
        </w:rPr>
        <w:t>28</w:t>
      </w:r>
      <w:r w:rsidR="004E46F0">
        <w:rPr>
          <w:rFonts w:ascii="宋体" w:eastAsia="宋体" w:hAnsi="宋体" w:hint="eastAsia"/>
          <w:sz w:val="30"/>
          <w:szCs w:val="30"/>
        </w:rPr>
        <w:t>日</w:t>
      </w:r>
      <w:r w:rsidRPr="006037DF">
        <w:rPr>
          <w:rFonts w:ascii="宋体" w:eastAsia="宋体" w:hAnsi="宋体"/>
          <w:sz w:val="30"/>
          <w:szCs w:val="30"/>
        </w:rPr>
        <w:t>收盘，上证指数</w:t>
      </w:r>
      <w:r w:rsidR="004E46F0">
        <w:rPr>
          <w:rFonts w:ascii="宋体" w:eastAsia="宋体" w:hAnsi="宋体" w:hint="eastAsia"/>
          <w:sz w:val="30"/>
          <w:szCs w:val="30"/>
        </w:rPr>
        <w:t>收报</w:t>
      </w:r>
      <w:r w:rsidR="00D234FC" w:rsidRPr="00950DDF">
        <w:rPr>
          <w:rFonts w:ascii="宋体" w:eastAsia="宋体" w:hAnsi="宋体"/>
          <w:sz w:val="30"/>
          <w:szCs w:val="30"/>
        </w:rPr>
        <w:t>2</w:t>
      </w:r>
      <w:r w:rsidR="004D30C0">
        <w:rPr>
          <w:rFonts w:ascii="宋体" w:eastAsia="宋体" w:hAnsi="宋体"/>
          <w:sz w:val="30"/>
          <w:szCs w:val="30"/>
        </w:rPr>
        <w:t>978.88</w:t>
      </w:r>
      <w:r w:rsidR="004E46F0" w:rsidRPr="00950DDF">
        <w:rPr>
          <w:rFonts w:ascii="宋体" w:eastAsia="宋体" w:hAnsi="宋体" w:hint="eastAsia"/>
          <w:sz w:val="30"/>
          <w:szCs w:val="30"/>
        </w:rPr>
        <w:t>点</w:t>
      </w:r>
      <w:r w:rsidR="004E46F0" w:rsidRPr="00950DDF">
        <w:rPr>
          <w:rFonts w:ascii="宋体" w:eastAsia="宋体" w:hAnsi="宋体"/>
          <w:sz w:val="30"/>
          <w:szCs w:val="30"/>
        </w:rPr>
        <w:t>，</w:t>
      </w:r>
      <w:r w:rsidRPr="00950DDF">
        <w:rPr>
          <w:rFonts w:ascii="宋体" w:eastAsia="宋体" w:hAnsi="宋体" w:hint="eastAsia"/>
          <w:sz w:val="30"/>
          <w:szCs w:val="30"/>
        </w:rPr>
        <w:t>涨幅为</w:t>
      </w:r>
      <w:r w:rsidR="00CA681A">
        <w:rPr>
          <w:rFonts w:ascii="宋体" w:eastAsia="宋体" w:hAnsi="宋体"/>
          <w:sz w:val="30"/>
          <w:szCs w:val="30"/>
        </w:rPr>
        <w:t>2.77</w:t>
      </w:r>
      <w:r w:rsidRPr="00950DDF">
        <w:rPr>
          <w:rFonts w:ascii="宋体" w:eastAsia="宋体" w:hAnsi="宋体"/>
          <w:sz w:val="30"/>
          <w:szCs w:val="30"/>
        </w:rPr>
        <w:t>%，</w:t>
      </w:r>
      <w:r w:rsidRPr="00950DDF">
        <w:rPr>
          <w:rFonts w:ascii="宋体" w:eastAsia="宋体" w:hAnsi="宋体" w:hint="eastAsia"/>
          <w:sz w:val="30"/>
          <w:szCs w:val="30"/>
        </w:rPr>
        <w:t>中</w:t>
      </w:r>
      <w:r w:rsidRPr="00950DDF">
        <w:rPr>
          <w:rFonts w:ascii="宋体" w:eastAsia="宋体" w:hAnsi="宋体"/>
          <w:sz w:val="30"/>
          <w:szCs w:val="30"/>
        </w:rPr>
        <w:t>小</w:t>
      </w:r>
      <w:r w:rsidRPr="00950DDF">
        <w:rPr>
          <w:rFonts w:ascii="宋体" w:eastAsia="宋体" w:hAnsi="宋体" w:hint="eastAsia"/>
          <w:sz w:val="30"/>
          <w:szCs w:val="30"/>
        </w:rPr>
        <w:t>板</w:t>
      </w:r>
      <w:r w:rsidRPr="00950DDF">
        <w:rPr>
          <w:rFonts w:ascii="宋体" w:eastAsia="宋体" w:hAnsi="宋体"/>
          <w:sz w:val="30"/>
          <w:szCs w:val="30"/>
        </w:rPr>
        <w:t>指</w:t>
      </w:r>
      <w:r w:rsidR="004E46F0" w:rsidRPr="00950DDF">
        <w:rPr>
          <w:rFonts w:ascii="宋体" w:eastAsia="宋体" w:hAnsi="宋体" w:hint="eastAsia"/>
          <w:sz w:val="30"/>
          <w:szCs w:val="30"/>
        </w:rPr>
        <w:t>收</w:t>
      </w:r>
      <w:r w:rsidR="004E46F0" w:rsidRPr="00950DDF">
        <w:rPr>
          <w:rFonts w:ascii="宋体" w:eastAsia="宋体" w:hAnsi="宋体"/>
          <w:sz w:val="30"/>
          <w:szCs w:val="30"/>
        </w:rPr>
        <w:t>报</w:t>
      </w:r>
      <w:r w:rsidR="004D30C0">
        <w:rPr>
          <w:rFonts w:ascii="宋体" w:eastAsia="宋体" w:hAnsi="宋体"/>
          <w:sz w:val="30"/>
          <w:szCs w:val="30"/>
        </w:rPr>
        <w:t>5678.75</w:t>
      </w:r>
      <w:r w:rsidR="004E46F0" w:rsidRPr="00950DDF">
        <w:rPr>
          <w:rFonts w:ascii="宋体" w:eastAsia="宋体" w:hAnsi="宋体" w:hint="eastAsia"/>
          <w:sz w:val="30"/>
          <w:szCs w:val="30"/>
        </w:rPr>
        <w:t>点</w:t>
      </w:r>
      <w:r w:rsidR="004E46F0" w:rsidRPr="00950DDF">
        <w:rPr>
          <w:rFonts w:ascii="宋体" w:eastAsia="宋体" w:hAnsi="宋体"/>
          <w:sz w:val="30"/>
          <w:szCs w:val="30"/>
        </w:rPr>
        <w:t>，</w:t>
      </w:r>
      <w:r w:rsidRPr="00950DDF">
        <w:rPr>
          <w:rFonts w:ascii="宋体" w:eastAsia="宋体" w:hAnsi="宋体" w:hint="eastAsia"/>
          <w:sz w:val="30"/>
          <w:szCs w:val="30"/>
        </w:rPr>
        <w:t>涨幅为</w:t>
      </w:r>
      <w:r w:rsidR="00CA681A">
        <w:rPr>
          <w:rFonts w:ascii="宋体" w:eastAsia="宋体" w:hAnsi="宋体"/>
          <w:sz w:val="30"/>
          <w:szCs w:val="30"/>
        </w:rPr>
        <w:t>3.73</w:t>
      </w:r>
      <w:r w:rsidRPr="00950DDF">
        <w:rPr>
          <w:rFonts w:ascii="宋体" w:eastAsia="宋体" w:hAnsi="宋体"/>
          <w:sz w:val="30"/>
          <w:szCs w:val="30"/>
        </w:rPr>
        <w:t>%</w:t>
      </w:r>
      <w:r w:rsidRPr="00950DDF">
        <w:rPr>
          <w:rFonts w:ascii="宋体" w:eastAsia="宋体" w:hAnsi="宋体" w:hint="eastAsia"/>
          <w:sz w:val="30"/>
          <w:szCs w:val="30"/>
        </w:rPr>
        <w:t>，</w:t>
      </w:r>
      <w:r w:rsidRPr="00950DDF">
        <w:rPr>
          <w:rFonts w:ascii="宋体" w:eastAsia="宋体" w:hAnsi="宋体"/>
          <w:sz w:val="30"/>
          <w:szCs w:val="30"/>
        </w:rPr>
        <w:t>创业板指</w:t>
      </w:r>
      <w:r w:rsidR="004E46F0" w:rsidRPr="00950DDF">
        <w:rPr>
          <w:rFonts w:ascii="宋体" w:eastAsia="宋体" w:hAnsi="宋体" w:hint="eastAsia"/>
          <w:sz w:val="30"/>
          <w:szCs w:val="30"/>
        </w:rPr>
        <w:t>收</w:t>
      </w:r>
      <w:r w:rsidR="004E46F0" w:rsidRPr="00950DDF">
        <w:rPr>
          <w:rFonts w:ascii="宋体" w:eastAsia="宋体" w:hAnsi="宋体"/>
          <w:sz w:val="30"/>
          <w:szCs w:val="30"/>
        </w:rPr>
        <w:t>报</w:t>
      </w:r>
      <w:r w:rsidR="004E46F0" w:rsidRPr="00950DDF">
        <w:rPr>
          <w:rFonts w:ascii="宋体" w:eastAsia="宋体" w:hAnsi="宋体" w:hint="eastAsia"/>
          <w:sz w:val="30"/>
          <w:szCs w:val="30"/>
        </w:rPr>
        <w:t>1</w:t>
      </w:r>
      <w:r w:rsidR="004D30C0">
        <w:rPr>
          <w:rFonts w:ascii="宋体" w:eastAsia="宋体" w:hAnsi="宋体"/>
          <w:sz w:val="30"/>
          <w:szCs w:val="30"/>
        </w:rPr>
        <w:t>511.51</w:t>
      </w:r>
      <w:r w:rsidR="004E46F0" w:rsidRPr="00950DDF">
        <w:rPr>
          <w:rFonts w:ascii="宋体" w:eastAsia="宋体" w:hAnsi="宋体" w:hint="eastAsia"/>
          <w:sz w:val="30"/>
          <w:szCs w:val="30"/>
        </w:rPr>
        <w:t>点</w:t>
      </w:r>
      <w:r w:rsidR="004E46F0" w:rsidRPr="00950DDF">
        <w:rPr>
          <w:rFonts w:ascii="宋体" w:eastAsia="宋体" w:hAnsi="宋体"/>
          <w:sz w:val="30"/>
          <w:szCs w:val="30"/>
        </w:rPr>
        <w:t>，</w:t>
      </w:r>
      <w:r w:rsidRPr="00950DDF">
        <w:rPr>
          <w:rFonts w:ascii="宋体" w:eastAsia="宋体" w:hAnsi="宋体" w:hint="eastAsia"/>
          <w:sz w:val="30"/>
          <w:szCs w:val="30"/>
        </w:rPr>
        <w:t>涨幅为</w:t>
      </w:r>
      <w:r w:rsidR="00CA681A">
        <w:rPr>
          <w:rFonts w:ascii="宋体" w:eastAsia="宋体" w:hAnsi="宋体"/>
          <w:sz w:val="30"/>
          <w:szCs w:val="30"/>
        </w:rPr>
        <w:t>1.88</w:t>
      </w:r>
      <w:r w:rsidRPr="00950DDF">
        <w:rPr>
          <w:rFonts w:ascii="宋体" w:eastAsia="宋体" w:hAnsi="宋体"/>
          <w:sz w:val="30"/>
          <w:szCs w:val="30"/>
        </w:rPr>
        <w:t>%。</w:t>
      </w:r>
      <w:bookmarkStart w:id="0" w:name="_GoBack"/>
      <w:bookmarkEnd w:id="0"/>
    </w:p>
    <w:p w:rsidR="002F4817" w:rsidRPr="00B0577D" w:rsidRDefault="002F4817" w:rsidP="009B095A">
      <w:pPr>
        <w:spacing w:line="480" w:lineRule="auto"/>
        <w:jc w:val="center"/>
        <w:rPr>
          <w:rFonts w:asciiTheme="minorEastAsia" w:hAnsiTheme="minorEastAsia"/>
          <w:sz w:val="28"/>
          <w:szCs w:val="28"/>
        </w:rPr>
      </w:pPr>
      <w:r w:rsidRPr="00B0577D">
        <w:rPr>
          <w:rFonts w:asciiTheme="minorEastAsia" w:hAnsiTheme="minorEastAsia" w:hint="eastAsia"/>
          <w:sz w:val="28"/>
          <w:szCs w:val="28"/>
        </w:rPr>
        <w:t>图1：A股</w:t>
      </w:r>
      <w:r w:rsidRPr="00B0577D">
        <w:rPr>
          <w:rFonts w:asciiTheme="minorEastAsia" w:hAnsiTheme="minorEastAsia"/>
          <w:sz w:val="28"/>
          <w:szCs w:val="28"/>
        </w:rPr>
        <w:t>市场</w:t>
      </w:r>
      <w:r w:rsidRPr="00B0577D">
        <w:rPr>
          <w:rFonts w:asciiTheme="minorEastAsia" w:hAnsiTheme="minorEastAsia" w:hint="eastAsia"/>
          <w:sz w:val="28"/>
          <w:szCs w:val="28"/>
        </w:rPr>
        <w:t>本月</w:t>
      </w:r>
      <w:r w:rsidRPr="00B0577D">
        <w:rPr>
          <w:rFonts w:asciiTheme="minorEastAsia" w:hAnsiTheme="minorEastAsia"/>
          <w:sz w:val="28"/>
          <w:szCs w:val="28"/>
        </w:rPr>
        <w:t>总体表现</w:t>
      </w:r>
    </w:p>
    <w:tbl>
      <w:tblPr>
        <w:tblW w:w="8500" w:type="dxa"/>
        <w:jc w:val="center"/>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664"/>
        <w:gridCol w:w="2410"/>
        <w:gridCol w:w="2830"/>
      </w:tblGrid>
      <w:tr w:rsidR="002F4817" w:rsidRPr="00B0577D" w:rsidTr="00F76B94">
        <w:trPr>
          <w:trHeight w:val="402"/>
          <w:jc w:val="center"/>
        </w:trPr>
        <w:tc>
          <w:tcPr>
            <w:tcW w:w="1596" w:type="dxa"/>
            <w:tcBorders>
              <w:top w:val="single" w:sz="4" w:space="0" w:color="auto"/>
            </w:tcBorders>
            <w:shd w:val="clear" w:color="000000" w:fill="FF6600"/>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指数</w:t>
            </w:r>
          </w:p>
        </w:tc>
        <w:tc>
          <w:tcPr>
            <w:tcW w:w="1664" w:type="dxa"/>
            <w:tcBorders>
              <w:top w:val="single" w:sz="4" w:space="0" w:color="auto"/>
            </w:tcBorders>
            <w:shd w:val="clear" w:color="000000" w:fill="FF6600"/>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收盘价</w:t>
            </w:r>
          </w:p>
        </w:tc>
        <w:tc>
          <w:tcPr>
            <w:tcW w:w="2410" w:type="dxa"/>
            <w:tcBorders>
              <w:top w:val="single" w:sz="4" w:space="0" w:color="auto"/>
            </w:tcBorders>
            <w:shd w:val="clear" w:color="000000" w:fill="FF6600"/>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本月涨幅(%)</w:t>
            </w:r>
          </w:p>
        </w:tc>
        <w:tc>
          <w:tcPr>
            <w:tcW w:w="2830" w:type="dxa"/>
            <w:tcBorders>
              <w:top w:val="single" w:sz="4" w:space="0" w:color="auto"/>
            </w:tcBorders>
            <w:shd w:val="clear" w:color="000000" w:fill="FF6600"/>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今年</w:t>
            </w:r>
            <w:r w:rsidRPr="00B0577D">
              <w:rPr>
                <w:rFonts w:asciiTheme="minorEastAsia" w:hAnsiTheme="minorEastAsia" w:cs="宋体"/>
                <w:color w:val="000000"/>
                <w:sz w:val="30"/>
                <w:szCs w:val="30"/>
              </w:rPr>
              <w:t>以来涨幅</w:t>
            </w:r>
            <w:r w:rsidRPr="00B0577D">
              <w:rPr>
                <w:rFonts w:asciiTheme="minorEastAsia" w:hAnsiTheme="minorEastAsia" w:cs="宋体" w:hint="eastAsia"/>
                <w:color w:val="000000"/>
                <w:sz w:val="30"/>
                <w:szCs w:val="30"/>
              </w:rPr>
              <w:t>（%）</w:t>
            </w:r>
          </w:p>
        </w:tc>
      </w:tr>
      <w:tr w:rsidR="002F4817" w:rsidRPr="00B0577D" w:rsidTr="00F76B94">
        <w:trPr>
          <w:trHeight w:val="402"/>
          <w:jc w:val="center"/>
        </w:trPr>
        <w:tc>
          <w:tcPr>
            <w:tcW w:w="1596" w:type="dxa"/>
            <w:tcBorders>
              <w:top w:val="single" w:sz="4" w:space="0" w:color="auto"/>
            </w:tcBorders>
            <w:shd w:val="clear" w:color="000000" w:fill="FCD5B4"/>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上证指数</w:t>
            </w:r>
          </w:p>
        </w:tc>
        <w:tc>
          <w:tcPr>
            <w:tcW w:w="1664" w:type="dxa"/>
            <w:tcBorders>
              <w:top w:val="single" w:sz="4" w:space="0" w:color="auto"/>
            </w:tcBorders>
            <w:shd w:val="clear" w:color="000000" w:fill="FCD5B4"/>
            <w:noWrap/>
            <w:vAlign w:val="bottom"/>
            <w:hideMark/>
          </w:tcPr>
          <w:p w:rsidR="002F4817" w:rsidRPr="00B0577D" w:rsidRDefault="008B4CD1" w:rsidP="00CA2BFC">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2</w:t>
            </w:r>
            <w:r w:rsidR="00CA2BFC">
              <w:rPr>
                <w:rFonts w:asciiTheme="minorEastAsia" w:hAnsiTheme="minorEastAsia" w:cs="宋体"/>
                <w:color w:val="000000"/>
                <w:sz w:val="30"/>
                <w:szCs w:val="30"/>
              </w:rPr>
              <w:t>978.88</w:t>
            </w:r>
          </w:p>
        </w:tc>
        <w:tc>
          <w:tcPr>
            <w:tcW w:w="2410" w:type="dxa"/>
            <w:shd w:val="clear" w:color="000000" w:fill="FCD5B4"/>
            <w:noWrap/>
            <w:vAlign w:val="bottom"/>
            <w:hideMark/>
          </w:tcPr>
          <w:p w:rsidR="002F4817" w:rsidRPr="00B0577D" w:rsidRDefault="007D7472" w:rsidP="00797BDE">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2.77</w:t>
            </w:r>
          </w:p>
        </w:tc>
        <w:tc>
          <w:tcPr>
            <w:tcW w:w="2830" w:type="dxa"/>
            <w:shd w:val="clear" w:color="000000" w:fill="FCD5B4"/>
          </w:tcPr>
          <w:p w:rsidR="002F4817" w:rsidRPr="00B0577D" w:rsidRDefault="008B4CD1" w:rsidP="007D7472">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1</w:t>
            </w:r>
            <w:r w:rsidR="007D7472">
              <w:rPr>
                <w:rFonts w:asciiTheme="minorEastAsia" w:hAnsiTheme="minorEastAsia" w:cs="宋体"/>
                <w:color w:val="000000"/>
                <w:sz w:val="30"/>
                <w:szCs w:val="30"/>
              </w:rPr>
              <w:t>9.45</w:t>
            </w:r>
          </w:p>
        </w:tc>
      </w:tr>
      <w:tr w:rsidR="002F4817" w:rsidRPr="00B0577D" w:rsidTr="00F76B94">
        <w:trPr>
          <w:trHeight w:val="402"/>
          <w:jc w:val="center"/>
        </w:trPr>
        <w:tc>
          <w:tcPr>
            <w:tcW w:w="1596" w:type="dxa"/>
            <w:tcBorders>
              <w:top w:val="single" w:sz="4" w:space="0" w:color="auto"/>
            </w:tcBorders>
            <w:shd w:val="clear" w:color="000000" w:fill="FCD5B4"/>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中小板指</w:t>
            </w:r>
          </w:p>
        </w:tc>
        <w:tc>
          <w:tcPr>
            <w:tcW w:w="1664" w:type="dxa"/>
            <w:tcBorders>
              <w:top w:val="single" w:sz="4" w:space="0" w:color="auto"/>
            </w:tcBorders>
            <w:shd w:val="clear" w:color="000000" w:fill="FCD5B4"/>
            <w:noWrap/>
            <w:vAlign w:val="bottom"/>
            <w:hideMark/>
          </w:tcPr>
          <w:p w:rsidR="002F4817" w:rsidRPr="00B0577D" w:rsidRDefault="00CA2BFC" w:rsidP="00797BDE">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5678.75</w:t>
            </w:r>
          </w:p>
        </w:tc>
        <w:tc>
          <w:tcPr>
            <w:tcW w:w="2410" w:type="dxa"/>
            <w:shd w:val="clear" w:color="000000" w:fill="FCD5B4"/>
            <w:noWrap/>
            <w:vAlign w:val="bottom"/>
            <w:hideMark/>
          </w:tcPr>
          <w:p w:rsidR="002F4817" w:rsidRPr="00B0577D" w:rsidRDefault="007D7472" w:rsidP="00797BDE">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3.73</w:t>
            </w:r>
          </w:p>
        </w:tc>
        <w:tc>
          <w:tcPr>
            <w:tcW w:w="2830" w:type="dxa"/>
            <w:shd w:val="clear" w:color="000000" w:fill="FCD5B4"/>
          </w:tcPr>
          <w:p w:rsidR="002F4817" w:rsidRPr="00B0577D" w:rsidRDefault="007D7472" w:rsidP="00E9634A">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20.75</w:t>
            </w:r>
          </w:p>
        </w:tc>
      </w:tr>
      <w:tr w:rsidR="002F4817" w:rsidRPr="00B0577D" w:rsidTr="00F76B94">
        <w:trPr>
          <w:trHeight w:val="402"/>
          <w:jc w:val="center"/>
        </w:trPr>
        <w:tc>
          <w:tcPr>
            <w:tcW w:w="1596" w:type="dxa"/>
            <w:tcBorders>
              <w:top w:val="single" w:sz="4" w:space="0" w:color="auto"/>
            </w:tcBorders>
            <w:shd w:val="clear" w:color="000000" w:fill="FCD5B4"/>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创业板指</w:t>
            </w:r>
          </w:p>
        </w:tc>
        <w:tc>
          <w:tcPr>
            <w:tcW w:w="1664" w:type="dxa"/>
            <w:tcBorders>
              <w:top w:val="single" w:sz="4" w:space="0" w:color="auto"/>
            </w:tcBorders>
            <w:shd w:val="clear" w:color="000000" w:fill="FCD5B4"/>
            <w:noWrap/>
            <w:vAlign w:val="bottom"/>
            <w:hideMark/>
          </w:tcPr>
          <w:p w:rsidR="002F4817" w:rsidRPr="00B0577D" w:rsidRDefault="00CA2BFC" w:rsidP="00797BDE">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1511.51</w:t>
            </w:r>
          </w:p>
        </w:tc>
        <w:tc>
          <w:tcPr>
            <w:tcW w:w="2410" w:type="dxa"/>
            <w:shd w:val="clear" w:color="000000" w:fill="FCD5B4"/>
            <w:noWrap/>
            <w:vAlign w:val="bottom"/>
            <w:hideMark/>
          </w:tcPr>
          <w:p w:rsidR="002F4817" w:rsidRPr="00B0577D" w:rsidRDefault="007D7472" w:rsidP="00797BDE">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1.88</w:t>
            </w:r>
          </w:p>
        </w:tc>
        <w:tc>
          <w:tcPr>
            <w:tcW w:w="2830" w:type="dxa"/>
            <w:shd w:val="clear" w:color="000000" w:fill="FCD5B4"/>
          </w:tcPr>
          <w:p w:rsidR="002F4817" w:rsidRPr="00B0577D" w:rsidRDefault="007D7472" w:rsidP="00125393">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20.87</w:t>
            </w:r>
          </w:p>
        </w:tc>
      </w:tr>
    </w:tbl>
    <w:p w:rsidR="009E3F0A" w:rsidRDefault="009E3F0A" w:rsidP="00B0577D">
      <w:pPr>
        <w:spacing w:line="480" w:lineRule="auto"/>
        <w:ind w:firstLineChars="200" w:firstLine="600"/>
        <w:rPr>
          <w:rFonts w:asciiTheme="minorEastAsia" w:hAnsiTheme="minorEastAsia"/>
          <w:color w:val="000000" w:themeColor="text1"/>
          <w:sz w:val="30"/>
          <w:szCs w:val="30"/>
          <w:shd w:val="clear" w:color="auto" w:fill="FFFFFF"/>
        </w:rPr>
      </w:pPr>
    </w:p>
    <w:p w:rsidR="002F4817" w:rsidRDefault="002F4817" w:rsidP="00C81D4E">
      <w:pPr>
        <w:spacing w:line="480" w:lineRule="auto"/>
        <w:ind w:firstLineChars="200" w:firstLine="600"/>
        <w:rPr>
          <w:rFonts w:asciiTheme="minorEastAsia" w:hAnsiTheme="minorEastAsia"/>
          <w:color w:val="000000" w:themeColor="text1"/>
          <w:sz w:val="30"/>
          <w:szCs w:val="30"/>
          <w:shd w:val="clear" w:color="auto" w:fill="FFFFFF"/>
        </w:rPr>
      </w:pPr>
      <w:r w:rsidRPr="00B0577D">
        <w:rPr>
          <w:rFonts w:asciiTheme="minorEastAsia" w:hAnsiTheme="minorEastAsia" w:hint="eastAsia"/>
          <w:color w:val="000000" w:themeColor="text1"/>
          <w:sz w:val="30"/>
          <w:szCs w:val="30"/>
          <w:shd w:val="clear" w:color="auto" w:fill="FFFFFF"/>
        </w:rPr>
        <w:t>细分到</w:t>
      </w:r>
      <w:r w:rsidR="00C54D0D">
        <w:rPr>
          <w:rFonts w:asciiTheme="minorEastAsia" w:hAnsiTheme="minorEastAsia" w:hint="eastAsia"/>
          <w:color w:val="000000" w:themeColor="text1"/>
          <w:sz w:val="30"/>
          <w:szCs w:val="30"/>
          <w:shd w:val="clear" w:color="auto" w:fill="FFFFFF"/>
        </w:rPr>
        <w:t>申万一级行业</w:t>
      </w:r>
      <w:r w:rsidRPr="00B0577D">
        <w:rPr>
          <w:rFonts w:asciiTheme="minorEastAsia" w:hAnsiTheme="minorEastAsia"/>
          <w:color w:val="000000" w:themeColor="text1"/>
          <w:sz w:val="30"/>
          <w:szCs w:val="30"/>
          <w:shd w:val="clear" w:color="auto" w:fill="FFFFFF"/>
        </w:rPr>
        <w:t>上，</w:t>
      </w:r>
      <w:r w:rsidR="00C54D0D" w:rsidRPr="00994663">
        <w:rPr>
          <w:rFonts w:asciiTheme="minorEastAsia" w:hAnsiTheme="minorEastAsia" w:hint="eastAsia"/>
          <w:color w:val="000000" w:themeColor="text1"/>
          <w:sz w:val="30"/>
          <w:szCs w:val="30"/>
          <w:shd w:val="clear" w:color="auto" w:fill="FFFFFF"/>
        </w:rPr>
        <w:t>本月</w:t>
      </w:r>
      <w:r w:rsidR="001A5901" w:rsidRPr="00994663">
        <w:rPr>
          <w:rFonts w:asciiTheme="minorEastAsia" w:hAnsiTheme="minorEastAsia" w:hint="eastAsia"/>
          <w:color w:val="000000" w:themeColor="text1"/>
          <w:sz w:val="30"/>
          <w:szCs w:val="30"/>
          <w:shd w:val="clear" w:color="auto" w:fill="FFFFFF"/>
        </w:rPr>
        <w:t>所有</w:t>
      </w:r>
      <w:r w:rsidR="001A5901" w:rsidRPr="00994663">
        <w:rPr>
          <w:rFonts w:asciiTheme="minorEastAsia" w:hAnsiTheme="minorEastAsia"/>
          <w:color w:val="000000" w:themeColor="text1"/>
          <w:sz w:val="30"/>
          <w:szCs w:val="30"/>
          <w:shd w:val="clear" w:color="auto" w:fill="FFFFFF"/>
        </w:rPr>
        <w:t>板块</w:t>
      </w:r>
      <w:r w:rsidR="008079A0">
        <w:rPr>
          <w:rFonts w:asciiTheme="minorEastAsia" w:hAnsiTheme="minorEastAsia" w:hint="eastAsia"/>
          <w:color w:val="000000" w:themeColor="text1"/>
          <w:sz w:val="30"/>
          <w:szCs w:val="30"/>
          <w:shd w:val="clear" w:color="auto" w:fill="FFFFFF"/>
        </w:rPr>
        <w:t>中</w:t>
      </w:r>
      <w:r w:rsidR="00964EF4">
        <w:rPr>
          <w:rFonts w:asciiTheme="minorEastAsia" w:hAnsiTheme="minorEastAsia" w:hint="eastAsia"/>
          <w:color w:val="000000" w:themeColor="text1"/>
          <w:sz w:val="30"/>
          <w:szCs w:val="30"/>
          <w:shd w:val="clear" w:color="auto" w:fill="FFFFFF"/>
        </w:rPr>
        <w:t>只有</w:t>
      </w:r>
      <w:r w:rsidR="00964EF4">
        <w:rPr>
          <w:rFonts w:asciiTheme="minorEastAsia" w:hAnsiTheme="minorEastAsia"/>
          <w:color w:val="000000" w:themeColor="text1"/>
          <w:sz w:val="30"/>
          <w:szCs w:val="30"/>
          <w:shd w:val="clear" w:color="auto" w:fill="FFFFFF"/>
        </w:rPr>
        <w:t>农林牧渔</w:t>
      </w:r>
      <w:r w:rsidR="008079A0">
        <w:rPr>
          <w:rFonts w:asciiTheme="minorEastAsia" w:hAnsiTheme="minorEastAsia" w:hint="eastAsia"/>
          <w:color w:val="000000" w:themeColor="text1"/>
          <w:sz w:val="30"/>
          <w:szCs w:val="30"/>
          <w:shd w:val="clear" w:color="auto" w:fill="FFFFFF"/>
        </w:rPr>
        <w:t>板块</w:t>
      </w:r>
      <w:r w:rsidR="00964EF4">
        <w:rPr>
          <w:rFonts w:asciiTheme="minorEastAsia" w:hAnsiTheme="minorEastAsia"/>
          <w:color w:val="000000" w:themeColor="text1"/>
          <w:sz w:val="30"/>
          <w:szCs w:val="30"/>
          <w:shd w:val="clear" w:color="auto" w:fill="FFFFFF"/>
        </w:rPr>
        <w:t>下跌，</w:t>
      </w:r>
      <w:r w:rsidR="00DA74F3">
        <w:rPr>
          <w:rFonts w:asciiTheme="minorEastAsia" w:hAnsiTheme="minorEastAsia" w:hint="eastAsia"/>
          <w:color w:val="000000" w:themeColor="text1"/>
          <w:sz w:val="30"/>
          <w:szCs w:val="30"/>
          <w:shd w:val="clear" w:color="auto" w:fill="FFFFFF"/>
        </w:rPr>
        <w:t>其</w:t>
      </w:r>
      <w:r w:rsidR="00964EF4">
        <w:rPr>
          <w:rFonts w:asciiTheme="minorEastAsia" w:hAnsiTheme="minorEastAsia"/>
          <w:color w:val="000000" w:themeColor="text1"/>
          <w:sz w:val="30"/>
          <w:szCs w:val="30"/>
          <w:shd w:val="clear" w:color="auto" w:fill="FFFFFF"/>
        </w:rPr>
        <w:t>跌幅为</w:t>
      </w:r>
      <w:r w:rsidR="00964EF4">
        <w:rPr>
          <w:rFonts w:asciiTheme="minorEastAsia" w:hAnsiTheme="minorEastAsia" w:hint="eastAsia"/>
          <w:color w:val="000000" w:themeColor="text1"/>
          <w:sz w:val="30"/>
          <w:szCs w:val="30"/>
          <w:shd w:val="clear" w:color="auto" w:fill="FFFFFF"/>
        </w:rPr>
        <w:t>-6.03</w:t>
      </w:r>
      <w:r w:rsidR="00964EF4">
        <w:rPr>
          <w:rFonts w:asciiTheme="minorEastAsia" w:hAnsiTheme="minorEastAsia"/>
          <w:color w:val="000000" w:themeColor="text1"/>
          <w:sz w:val="30"/>
          <w:szCs w:val="30"/>
          <w:shd w:val="clear" w:color="auto" w:fill="FFFFFF"/>
        </w:rPr>
        <w:t>%，</w:t>
      </w:r>
      <w:r w:rsidR="00964EF4">
        <w:rPr>
          <w:rFonts w:asciiTheme="minorEastAsia" w:hAnsiTheme="minorEastAsia" w:hint="eastAsia"/>
          <w:color w:val="000000" w:themeColor="text1"/>
          <w:sz w:val="30"/>
          <w:szCs w:val="30"/>
          <w:shd w:val="clear" w:color="auto" w:fill="FFFFFF"/>
        </w:rPr>
        <w:t>其余</w:t>
      </w:r>
      <w:r w:rsidR="00964EF4">
        <w:rPr>
          <w:rFonts w:asciiTheme="minorEastAsia" w:hAnsiTheme="minorEastAsia"/>
          <w:color w:val="000000" w:themeColor="text1"/>
          <w:sz w:val="30"/>
          <w:szCs w:val="30"/>
          <w:shd w:val="clear" w:color="auto" w:fill="FFFFFF"/>
        </w:rPr>
        <w:t>板块</w:t>
      </w:r>
      <w:r w:rsidR="00F22E8D">
        <w:rPr>
          <w:rFonts w:asciiTheme="minorEastAsia" w:hAnsiTheme="minorEastAsia" w:hint="eastAsia"/>
          <w:color w:val="000000" w:themeColor="text1"/>
          <w:sz w:val="30"/>
          <w:szCs w:val="30"/>
          <w:shd w:val="clear" w:color="auto" w:fill="FFFFFF"/>
        </w:rPr>
        <w:t>均有</w:t>
      </w:r>
      <w:r w:rsidR="00F22E8D">
        <w:rPr>
          <w:rFonts w:asciiTheme="minorEastAsia" w:hAnsiTheme="minorEastAsia"/>
          <w:color w:val="000000" w:themeColor="text1"/>
          <w:sz w:val="30"/>
          <w:szCs w:val="30"/>
          <w:shd w:val="clear" w:color="auto" w:fill="FFFFFF"/>
        </w:rPr>
        <w:t>不同幅度</w:t>
      </w:r>
      <w:r w:rsidR="00964EF4">
        <w:rPr>
          <w:rFonts w:asciiTheme="minorEastAsia" w:hAnsiTheme="minorEastAsia"/>
          <w:color w:val="000000" w:themeColor="text1"/>
          <w:sz w:val="30"/>
          <w:szCs w:val="30"/>
          <w:shd w:val="clear" w:color="auto" w:fill="FFFFFF"/>
        </w:rPr>
        <w:t>上涨，</w:t>
      </w:r>
      <w:r w:rsidR="001A5901" w:rsidRPr="00994663">
        <w:rPr>
          <w:rFonts w:asciiTheme="minorEastAsia" w:hAnsiTheme="minorEastAsia"/>
          <w:color w:val="000000" w:themeColor="text1"/>
          <w:sz w:val="30"/>
          <w:szCs w:val="30"/>
          <w:shd w:val="clear" w:color="auto" w:fill="FFFFFF"/>
        </w:rPr>
        <w:t>其中</w:t>
      </w:r>
      <w:r w:rsidR="00964EF4">
        <w:rPr>
          <w:rFonts w:asciiTheme="minorEastAsia" w:hAnsiTheme="minorEastAsia" w:hint="eastAsia"/>
          <w:color w:val="000000" w:themeColor="text1"/>
          <w:sz w:val="30"/>
          <w:szCs w:val="30"/>
          <w:shd w:val="clear" w:color="auto" w:fill="FFFFFF"/>
        </w:rPr>
        <w:t>涨</w:t>
      </w:r>
      <w:r w:rsidR="00AF6644">
        <w:rPr>
          <w:rFonts w:asciiTheme="minorEastAsia" w:hAnsiTheme="minorEastAsia"/>
          <w:color w:val="000000" w:themeColor="text1"/>
          <w:sz w:val="30"/>
          <w:szCs w:val="30"/>
          <w:shd w:val="clear" w:color="auto" w:fill="FFFFFF"/>
        </w:rPr>
        <w:t>幅</w:t>
      </w:r>
      <w:r w:rsidR="00964EF4">
        <w:rPr>
          <w:rFonts w:asciiTheme="minorEastAsia" w:hAnsiTheme="minorEastAsia"/>
          <w:color w:val="000000" w:themeColor="text1"/>
          <w:sz w:val="30"/>
          <w:szCs w:val="30"/>
          <w:shd w:val="clear" w:color="auto" w:fill="FFFFFF"/>
        </w:rPr>
        <w:t>靠前的板块</w:t>
      </w:r>
      <w:r w:rsidR="00C34886">
        <w:rPr>
          <w:rFonts w:asciiTheme="minorEastAsia" w:hAnsiTheme="minorEastAsia" w:hint="eastAsia"/>
          <w:color w:val="000000" w:themeColor="text1"/>
          <w:sz w:val="30"/>
          <w:szCs w:val="30"/>
          <w:shd w:val="clear" w:color="auto" w:fill="FFFFFF"/>
        </w:rPr>
        <w:t>分别</w:t>
      </w:r>
      <w:r w:rsidR="00685650" w:rsidRPr="00994663">
        <w:rPr>
          <w:rFonts w:asciiTheme="minorEastAsia" w:hAnsiTheme="minorEastAsia"/>
          <w:color w:val="000000" w:themeColor="text1"/>
          <w:sz w:val="30"/>
          <w:szCs w:val="30"/>
          <w:shd w:val="clear" w:color="auto" w:fill="FFFFFF"/>
        </w:rPr>
        <w:t>是</w:t>
      </w:r>
      <w:r w:rsidR="00964EF4">
        <w:rPr>
          <w:rFonts w:asciiTheme="minorEastAsia" w:hAnsiTheme="minorEastAsia" w:hint="eastAsia"/>
          <w:color w:val="000000" w:themeColor="text1"/>
          <w:sz w:val="30"/>
          <w:szCs w:val="30"/>
          <w:shd w:val="clear" w:color="auto" w:fill="FFFFFF"/>
        </w:rPr>
        <w:t>食品饮料</w:t>
      </w:r>
      <w:r w:rsidR="00964EF4">
        <w:rPr>
          <w:rFonts w:asciiTheme="minorEastAsia" w:hAnsiTheme="minorEastAsia"/>
          <w:color w:val="000000" w:themeColor="text1"/>
          <w:sz w:val="30"/>
          <w:szCs w:val="30"/>
          <w:shd w:val="clear" w:color="auto" w:fill="FFFFFF"/>
        </w:rPr>
        <w:t>、非银金融、休闲服务、通信等</w:t>
      </w:r>
      <w:r w:rsidR="00964EF4">
        <w:rPr>
          <w:rFonts w:asciiTheme="minorEastAsia" w:hAnsiTheme="minorEastAsia" w:hint="eastAsia"/>
          <w:color w:val="000000" w:themeColor="text1"/>
          <w:sz w:val="30"/>
          <w:szCs w:val="30"/>
          <w:shd w:val="clear" w:color="auto" w:fill="FFFFFF"/>
        </w:rPr>
        <w:t>，</w:t>
      </w:r>
      <w:r w:rsidR="00945CD0" w:rsidRPr="00994663">
        <w:rPr>
          <w:rFonts w:asciiTheme="minorEastAsia" w:hAnsiTheme="minorEastAsia"/>
          <w:color w:val="000000" w:themeColor="text1"/>
          <w:sz w:val="30"/>
          <w:szCs w:val="30"/>
          <w:shd w:val="clear" w:color="auto" w:fill="FFFFFF"/>
        </w:rPr>
        <w:t>其</w:t>
      </w:r>
      <w:r w:rsidR="00945CD0" w:rsidRPr="00994663">
        <w:rPr>
          <w:rFonts w:asciiTheme="minorEastAsia" w:hAnsiTheme="minorEastAsia" w:hint="eastAsia"/>
          <w:color w:val="000000" w:themeColor="text1"/>
          <w:sz w:val="30"/>
          <w:szCs w:val="30"/>
          <w:shd w:val="clear" w:color="auto" w:fill="FFFFFF"/>
        </w:rPr>
        <w:t>涨</w:t>
      </w:r>
      <w:r w:rsidR="001F6F25" w:rsidRPr="00994663">
        <w:rPr>
          <w:rFonts w:asciiTheme="minorEastAsia" w:hAnsiTheme="minorEastAsia" w:hint="eastAsia"/>
          <w:color w:val="000000" w:themeColor="text1"/>
          <w:sz w:val="30"/>
          <w:szCs w:val="30"/>
          <w:shd w:val="clear" w:color="auto" w:fill="FFFFFF"/>
        </w:rPr>
        <w:t>幅</w:t>
      </w:r>
      <w:r w:rsidR="00945CD0" w:rsidRPr="00994663">
        <w:rPr>
          <w:rFonts w:asciiTheme="minorEastAsia" w:hAnsiTheme="minorEastAsia" w:hint="eastAsia"/>
          <w:color w:val="000000" w:themeColor="text1"/>
          <w:sz w:val="30"/>
          <w:szCs w:val="30"/>
          <w:shd w:val="clear" w:color="auto" w:fill="FFFFFF"/>
        </w:rPr>
        <w:t>分别</w:t>
      </w:r>
      <w:r w:rsidR="00945CD0" w:rsidRPr="00994663">
        <w:rPr>
          <w:rFonts w:asciiTheme="minorEastAsia" w:hAnsiTheme="minorEastAsia"/>
          <w:color w:val="000000" w:themeColor="text1"/>
          <w:sz w:val="30"/>
          <w:szCs w:val="30"/>
          <w:shd w:val="clear" w:color="auto" w:fill="FFFFFF"/>
        </w:rPr>
        <w:t>是</w:t>
      </w:r>
      <w:r w:rsidR="00C81D4E">
        <w:rPr>
          <w:rFonts w:asciiTheme="minorEastAsia" w:hAnsiTheme="minorEastAsia" w:hint="eastAsia"/>
          <w:color w:val="000000" w:themeColor="text1"/>
          <w:sz w:val="30"/>
          <w:szCs w:val="30"/>
          <w:shd w:val="clear" w:color="auto" w:fill="FFFFFF"/>
        </w:rPr>
        <w:t>11.01</w:t>
      </w:r>
      <w:r w:rsidR="00C81D4E">
        <w:rPr>
          <w:rFonts w:asciiTheme="minorEastAsia" w:hAnsiTheme="minorEastAsia"/>
          <w:color w:val="000000" w:themeColor="text1"/>
          <w:sz w:val="30"/>
          <w:szCs w:val="30"/>
          <w:shd w:val="clear" w:color="auto" w:fill="FFFFFF"/>
        </w:rPr>
        <w:t>%、9.68%、8.63%、6.41%</w:t>
      </w:r>
      <w:r w:rsidR="00821ED7" w:rsidRPr="00994663">
        <w:rPr>
          <w:rFonts w:asciiTheme="minorEastAsia" w:hAnsiTheme="minorEastAsia" w:hint="eastAsia"/>
          <w:color w:val="000000" w:themeColor="text1"/>
          <w:sz w:val="30"/>
          <w:szCs w:val="30"/>
          <w:shd w:val="clear" w:color="auto" w:fill="FFFFFF"/>
        </w:rPr>
        <w:t>，</w:t>
      </w:r>
      <w:r w:rsidR="00821ED7">
        <w:rPr>
          <w:rFonts w:asciiTheme="minorEastAsia" w:hAnsiTheme="minorEastAsia"/>
          <w:color w:val="000000" w:themeColor="text1"/>
          <w:sz w:val="30"/>
          <w:szCs w:val="30"/>
          <w:shd w:val="clear" w:color="auto" w:fill="FFFFFF"/>
        </w:rPr>
        <w:t>具体</w:t>
      </w:r>
      <w:r w:rsidR="002E4F0D">
        <w:rPr>
          <w:rFonts w:asciiTheme="minorEastAsia" w:hAnsiTheme="minorEastAsia" w:hint="eastAsia"/>
          <w:color w:val="000000" w:themeColor="text1"/>
          <w:sz w:val="30"/>
          <w:szCs w:val="30"/>
          <w:shd w:val="clear" w:color="auto" w:fill="FFFFFF"/>
        </w:rPr>
        <w:t>涨跌幅</w:t>
      </w:r>
      <w:r w:rsidRPr="00B0577D">
        <w:rPr>
          <w:rFonts w:asciiTheme="minorEastAsia" w:hAnsiTheme="minorEastAsia"/>
          <w:color w:val="000000" w:themeColor="text1"/>
          <w:sz w:val="30"/>
          <w:szCs w:val="30"/>
          <w:shd w:val="clear" w:color="auto" w:fill="FFFFFF"/>
        </w:rPr>
        <w:t>如图</w:t>
      </w:r>
      <w:r w:rsidRPr="00B0577D">
        <w:rPr>
          <w:rFonts w:asciiTheme="minorEastAsia" w:hAnsiTheme="minorEastAsia" w:hint="eastAsia"/>
          <w:color w:val="000000" w:themeColor="text1"/>
          <w:sz w:val="30"/>
          <w:szCs w:val="30"/>
          <w:shd w:val="clear" w:color="auto" w:fill="FFFFFF"/>
        </w:rPr>
        <w:t>2</w:t>
      </w:r>
      <w:r w:rsidRPr="00B0577D">
        <w:rPr>
          <w:rFonts w:asciiTheme="minorEastAsia" w:hAnsiTheme="minorEastAsia"/>
          <w:color w:val="000000" w:themeColor="text1"/>
          <w:sz w:val="30"/>
          <w:szCs w:val="30"/>
          <w:shd w:val="clear" w:color="auto" w:fill="FFFFFF"/>
        </w:rPr>
        <w:t>所示：</w:t>
      </w:r>
    </w:p>
    <w:p w:rsidR="009E3F0A" w:rsidRDefault="009E3F0A" w:rsidP="00B0577D">
      <w:pPr>
        <w:spacing w:line="480" w:lineRule="auto"/>
        <w:ind w:firstLineChars="200" w:firstLine="600"/>
        <w:jc w:val="center"/>
        <w:rPr>
          <w:rFonts w:asciiTheme="minorEastAsia" w:hAnsiTheme="minorEastAsia"/>
          <w:sz w:val="30"/>
          <w:szCs w:val="30"/>
        </w:rPr>
      </w:pPr>
    </w:p>
    <w:p w:rsidR="009E3F0A" w:rsidRDefault="009E3F0A" w:rsidP="00B0577D">
      <w:pPr>
        <w:spacing w:line="480" w:lineRule="auto"/>
        <w:ind w:firstLineChars="200" w:firstLine="600"/>
        <w:jc w:val="center"/>
        <w:rPr>
          <w:rFonts w:asciiTheme="minorEastAsia" w:hAnsiTheme="minorEastAsia"/>
          <w:sz w:val="30"/>
          <w:szCs w:val="30"/>
        </w:rPr>
      </w:pPr>
    </w:p>
    <w:p w:rsidR="002F4817" w:rsidRDefault="002F4817" w:rsidP="00B0577D">
      <w:pPr>
        <w:spacing w:line="480" w:lineRule="auto"/>
        <w:ind w:firstLineChars="200" w:firstLine="600"/>
        <w:jc w:val="center"/>
        <w:rPr>
          <w:rFonts w:asciiTheme="minorEastAsia" w:hAnsiTheme="minorEastAsia"/>
          <w:sz w:val="30"/>
          <w:szCs w:val="30"/>
        </w:rPr>
      </w:pPr>
      <w:r w:rsidRPr="00B0577D">
        <w:rPr>
          <w:rFonts w:asciiTheme="minorEastAsia" w:hAnsiTheme="minorEastAsia" w:hint="eastAsia"/>
          <w:sz w:val="30"/>
          <w:szCs w:val="30"/>
        </w:rPr>
        <w:t>图2：本月A股市场申万一级行业表现</w:t>
      </w:r>
    </w:p>
    <w:p w:rsidR="007C40B1" w:rsidRDefault="007C40B1" w:rsidP="00566FCA">
      <w:pPr>
        <w:spacing w:line="480" w:lineRule="auto"/>
        <w:ind w:firstLineChars="200" w:firstLine="480"/>
        <w:rPr>
          <w:rFonts w:asciiTheme="minorEastAsia" w:hAnsiTheme="minorEastAsia"/>
          <w:color w:val="000000" w:themeColor="text1"/>
          <w:sz w:val="30"/>
          <w:szCs w:val="30"/>
          <w:shd w:val="clear" w:color="auto" w:fill="FFFFFF"/>
        </w:rPr>
      </w:pPr>
      <w:r>
        <w:rPr>
          <w:noProof/>
        </w:rPr>
        <w:lastRenderedPageBreak/>
        <w:drawing>
          <wp:inline distT="0" distB="0" distL="0" distR="0" wp14:anchorId="0AEFF980" wp14:editId="3727E09E">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770D" w:rsidRPr="004524E7" w:rsidRDefault="002F4817" w:rsidP="00DF5843">
      <w:pPr>
        <w:spacing w:line="480" w:lineRule="auto"/>
        <w:ind w:firstLineChars="200" w:firstLine="600"/>
        <w:rPr>
          <w:rFonts w:asciiTheme="minorEastAsia" w:hAnsiTheme="minorEastAsia"/>
          <w:color w:val="000000" w:themeColor="text1"/>
          <w:sz w:val="30"/>
          <w:szCs w:val="30"/>
          <w:shd w:val="clear" w:color="auto" w:fill="FFFFFF"/>
        </w:rPr>
      </w:pPr>
      <w:r w:rsidRPr="00B0577D">
        <w:rPr>
          <w:rFonts w:asciiTheme="minorEastAsia" w:hAnsiTheme="minorEastAsia" w:hint="eastAsia"/>
          <w:color w:val="000000" w:themeColor="text1"/>
          <w:sz w:val="30"/>
          <w:szCs w:val="30"/>
          <w:shd w:val="clear" w:color="auto" w:fill="FFFFFF"/>
        </w:rPr>
        <w:t>宏观</w:t>
      </w:r>
      <w:r w:rsidR="004E0ACD">
        <w:rPr>
          <w:rFonts w:asciiTheme="minorEastAsia" w:hAnsiTheme="minorEastAsia" w:hint="eastAsia"/>
          <w:color w:val="000000" w:themeColor="text1"/>
          <w:sz w:val="30"/>
          <w:szCs w:val="30"/>
          <w:shd w:val="clear" w:color="auto" w:fill="FFFFFF"/>
        </w:rPr>
        <w:t>数据</w:t>
      </w:r>
      <w:r w:rsidRPr="00B0577D">
        <w:rPr>
          <w:rFonts w:asciiTheme="minorEastAsia" w:hAnsiTheme="minorEastAsia"/>
          <w:color w:val="000000" w:themeColor="text1"/>
          <w:sz w:val="30"/>
          <w:szCs w:val="30"/>
          <w:shd w:val="clear" w:color="auto" w:fill="FFFFFF"/>
        </w:rPr>
        <w:t>方面</w:t>
      </w:r>
      <w:r w:rsidR="00F57489">
        <w:rPr>
          <w:rFonts w:asciiTheme="minorEastAsia" w:hAnsiTheme="minorEastAsia" w:hint="eastAsia"/>
          <w:color w:val="000000" w:themeColor="text1"/>
          <w:sz w:val="30"/>
          <w:szCs w:val="30"/>
          <w:shd w:val="clear" w:color="auto" w:fill="FFFFFF"/>
        </w:rPr>
        <w:t>,</w:t>
      </w:r>
      <w:r w:rsidR="004E7142" w:rsidRPr="00DA59B8">
        <w:rPr>
          <w:rFonts w:asciiTheme="minorEastAsia" w:hAnsiTheme="minorEastAsia"/>
          <w:color w:val="000000" w:themeColor="text1"/>
          <w:sz w:val="30"/>
          <w:szCs w:val="30"/>
          <w:shd w:val="clear" w:color="auto" w:fill="FFFFFF"/>
        </w:rPr>
        <w:t xml:space="preserve"> </w:t>
      </w:r>
      <w:r w:rsidR="00B6770D" w:rsidRPr="00B6770D">
        <w:rPr>
          <w:rFonts w:asciiTheme="minorEastAsia" w:hAnsiTheme="minorEastAsia"/>
          <w:color w:val="000000" w:themeColor="text1"/>
          <w:sz w:val="30"/>
          <w:szCs w:val="30"/>
          <w:shd w:val="clear" w:color="auto" w:fill="FFFFFF"/>
        </w:rPr>
        <w:t>中国5月规模以上工业增加值同比增长5%，预估5.4%，前值5.4%。5月社会消费品零售总额同比增长8.6%，预估8.1%，前值7.2%。1-5月城镇固定资产投资同比增长5.6%，预估6.1%，前值6.1%。中国1-5月份房地产开发投资同比增长11.2%。</w:t>
      </w:r>
      <w:r w:rsidR="00B6770D" w:rsidRPr="00B6770D">
        <w:rPr>
          <w:rFonts w:asciiTheme="minorEastAsia" w:hAnsiTheme="minorEastAsia" w:hint="eastAsia"/>
          <w:color w:val="000000" w:themeColor="text1"/>
          <w:sz w:val="30"/>
          <w:szCs w:val="30"/>
          <w:shd w:val="clear" w:color="auto" w:fill="FFFFFF"/>
        </w:rPr>
        <w:t>工业生产运行在合理区间</w:t>
      </w:r>
      <w:r w:rsidR="00B6770D">
        <w:rPr>
          <w:rFonts w:asciiTheme="minorEastAsia" w:hAnsiTheme="minorEastAsia" w:hint="eastAsia"/>
          <w:color w:val="000000" w:themeColor="text1"/>
          <w:sz w:val="30"/>
          <w:szCs w:val="30"/>
          <w:shd w:val="clear" w:color="auto" w:fill="FFFFFF"/>
        </w:rPr>
        <w:t>,</w:t>
      </w:r>
      <w:r w:rsidR="00B6770D" w:rsidRPr="00B6770D">
        <w:rPr>
          <w:rFonts w:asciiTheme="minorEastAsia" w:hAnsiTheme="minorEastAsia" w:hint="eastAsia"/>
          <w:color w:val="000000" w:themeColor="text1"/>
          <w:sz w:val="30"/>
          <w:szCs w:val="30"/>
          <w:shd w:val="clear" w:color="auto" w:fill="FFFFFF"/>
        </w:rPr>
        <w:t>尽管工业生产总体运行在合理区间，但受中美经贸摩擦升级以及市场预期降低的影响，工业品出口增长放缓，汽车、手机</w:t>
      </w:r>
      <w:r w:rsidR="00B6770D" w:rsidRPr="00641B58">
        <w:rPr>
          <w:rFonts w:asciiTheme="minorEastAsia" w:hAnsiTheme="minorEastAsia" w:hint="eastAsia"/>
          <w:color w:val="000000" w:themeColor="text1"/>
          <w:sz w:val="30"/>
          <w:szCs w:val="30"/>
          <w:shd w:val="clear" w:color="auto" w:fill="FFFFFF"/>
        </w:rPr>
        <w:t>等部分主要行业和产品下降或低速增长，未来工业生产增长面临的下行压力进一步加大。</w:t>
      </w:r>
    </w:p>
    <w:p w:rsidR="004837CE" w:rsidRDefault="006E4647" w:rsidP="004837CE">
      <w:pPr>
        <w:spacing w:line="480" w:lineRule="auto"/>
        <w:ind w:firstLineChars="200" w:firstLine="600"/>
        <w:rPr>
          <w:rFonts w:asciiTheme="minorEastAsia" w:hAnsiTheme="minorEastAsia"/>
          <w:color w:val="000000" w:themeColor="text1"/>
          <w:sz w:val="30"/>
          <w:szCs w:val="30"/>
          <w:shd w:val="clear" w:color="auto" w:fill="FFFFFF"/>
        </w:rPr>
      </w:pPr>
      <w:r w:rsidRPr="006E4647">
        <w:rPr>
          <w:rFonts w:asciiTheme="minorEastAsia" w:hAnsiTheme="minorEastAsia" w:hint="eastAsia"/>
          <w:color w:val="000000" w:themeColor="text1"/>
          <w:sz w:val="30"/>
          <w:szCs w:val="30"/>
          <w:shd w:val="clear" w:color="auto" w:fill="FFFFFF"/>
        </w:rPr>
        <w:t>货币政策</w:t>
      </w:r>
      <w:r w:rsidRPr="006E4647">
        <w:rPr>
          <w:rFonts w:asciiTheme="minorEastAsia" w:hAnsiTheme="minorEastAsia"/>
          <w:color w:val="000000" w:themeColor="text1"/>
          <w:sz w:val="30"/>
          <w:szCs w:val="30"/>
          <w:shd w:val="clear" w:color="auto" w:fill="FFFFFF"/>
        </w:rPr>
        <w:t>方面，</w:t>
      </w:r>
      <w:r w:rsidR="004B6F95" w:rsidRPr="004B6F95">
        <w:rPr>
          <w:rFonts w:asciiTheme="minorEastAsia" w:hAnsiTheme="minorEastAsia"/>
          <w:color w:val="000000" w:themeColor="text1"/>
          <w:sz w:val="30"/>
          <w:szCs w:val="30"/>
          <w:shd w:val="clear" w:color="auto" w:fill="FFFFFF"/>
        </w:rPr>
        <w:t xml:space="preserve"> 2019年第二季度例会于6月25日在北京召开。会议认为，当前人民币汇率总体稳定，稳健的货币政策体现了逆周期调节的要求。会议指出，要继续密切关注国际国内经济金融形势的深刻变化，适时适度实施逆周期调节，加强宏观政策协调。稳健的货币政策要松紧适度，把好货币供给总</w:t>
      </w:r>
      <w:r w:rsidR="004B6F95" w:rsidRPr="004B6F95">
        <w:rPr>
          <w:rFonts w:asciiTheme="minorEastAsia" w:hAnsiTheme="minorEastAsia"/>
          <w:color w:val="000000" w:themeColor="text1"/>
          <w:sz w:val="30"/>
          <w:szCs w:val="30"/>
          <w:shd w:val="clear" w:color="auto" w:fill="FFFFFF"/>
        </w:rPr>
        <w:lastRenderedPageBreak/>
        <w:t>闸门，不搞“大水漫灌”，保持广义货币M2和社会融资规模增速与国内生产总值名义增速相匹配。</w:t>
      </w:r>
    </w:p>
    <w:p w:rsidR="004837CE" w:rsidRPr="00F37731" w:rsidRDefault="007805B3" w:rsidP="004837CE">
      <w:pPr>
        <w:spacing w:line="480" w:lineRule="auto"/>
        <w:ind w:firstLineChars="200" w:firstLine="600"/>
        <w:rPr>
          <w:rFonts w:asciiTheme="minorEastAsia" w:hAnsiTheme="minorEastAsia"/>
          <w:color w:val="000000" w:themeColor="text1"/>
          <w:sz w:val="30"/>
          <w:szCs w:val="30"/>
          <w:shd w:val="clear" w:color="auto" w:fill="FFFFFF"/>
        </w:rPr>
      </w:pPr>
      <w:r>
        <w:rPr>
          <w:rFonts w:asciiTheme="minorEastAsia" w:hAnsiTheme="minorEastAsia" w:hint="eastAsia"/>
          <w:color w:val="000000" w:themeColor="text1"/>
          <w:sz w:val="30"/>
          <w:szCs w:val="30"/>
          <w:shd w:val="clear" w:color="auto" w:fill="FFFFFF"/>
        </w:rPr>
        <w:t>消息面上,</w:t>
      </w:r>
      <w:r w:rsidR="004837CE" w:rsidRPr="004837CE">
        <w:rPr>
          <w:rFonts w:asciiTheme="minorEastAsia" w:hAnsiTheme="minorEastAsia" w:hint="eastAsia"/>
          <w:color w:val="000000" w:themeColor="text1"/>
          <w:sz w:val="30"/>
          <w:szCs w:val="30"/>
          <w:shd w:val="clear" w:color="auto" w:fill="FFFFFF"/>
        </w:rPr>
        <w:t>（1）郭树清在第十一届陆家嘴论坛上的开幕致辞</w:t>
      </w:r>
      <w:r w:rsidR="004837CE">
        <w:rPr>
          <w:rFonts w:asciiTheme="minorEastAsia" w:hAnsiTheme="minorEastAsia" w:hint="eastAsia"/>
          <w:color w:val="000000" w:themeColor="text1"/>
          <w:sz w:val="30"/>
          <w:szCs w:val="30"/>
          <w:shd w:val="clear" w:color="auto" w:fill="FFFFFF"/>
        </w:rPr>
        <w:t>:</w:t>
      </w:r>
      <w:r w:rsidR="004837CE" w:rsidRPr="004837CE">
        <w:rPr>
          <w:rFonts w:asciiTheme="minorEastAsia" w:hAnsiTheme="minorEastAsia" w:hint="eastAsia"/>
          <w:color w:val="000000" w:themeColor="text1"/>
          <w:sz w:val="30"/>
          <w:szCs w:val="30"/>
          <w:shd w:val="clear" w:color="auto" w:fill="FFFFFF"/>
        </w:rPr>
        <w:t>当前，我国经济进入了转型升级和结构性改革的关键时期，新旧动能的转换不断加速。金融服务实体经济的能力持续提升，银行和保险投向工商企业的资金快速增长，特别是对制造业、高新技术产业和民营企业的贷款明显回升，小微企业融资难融资贵问题得到缓解。到5月末，五大银行对普惠型小微企业贷款比去年底增长23.7%，已完成全年计划的绝大部分，平均利率4.79%，较去年全年下降0.65个百分点。与此同时，银行业和保险业全力配合地方一般债券和专项债券的发行，并且认真贯彻执行国家有关基础设施补短板项目配套融资的相关政策和计划。我们相信，通过深化供给侧结构性改革扩大国内有效需求，一定会抵消来自各方面不利因素的影响。中国经济和金融必将持续健康稳定前行！</w:t>
      </w:r>
    </w:p>
    <w:p w:rsidR="00202F6D" w:rsidRPr="00B3678A" w:rsidRDefault="00202F6D" w:rsidP="004837CE">
      <w:pPr>
        <w:spacing w:line="480" w:lineRule="auto"/>
        <w:rPr>
          <w:rFonts w:asciiTheme="minorEastAsia" w:hAnsiTheme="minorEastAsia"/>
          <w:color w:val="000000" w:themeColor="text1"/>
          <w:sz w:val="30"/>
          <w:szCs w:val="30"/>
          <w:shd w:val="clear" w:color="auto" w:fill="FFFFFF"/>
        </w:rPr>
      </w:pPr>
    </w:p>
    <w:p w:rsidR="007951E9" w:rsidRPr="00B0577D" w:rsidRDefault="007951E9" w:rsidP="009B095A">
      <w:pPr>
        <w:shd w:val="clear" w:color="auto" w:fill="FFFFFF"/>
        <w:spacing w:before="225" w:after="225" w:line="480" w:lineRule="auto"/>
        <w:rPr>
          <w:rFonts w:asciiTheme="minorEastAsia" w:hAnsiTheme="minorEastAsia"/>
          <w:b/>
          <w:bCs/>
          <w:sz w:val="30"/>
          <w:szCs w:val="30"/>
        </w:rPr>
      </w:pPr>
      <w:r w:rsidRPr="00B0577D">
        <w:rPr>
          <w:rFonts w:asciiTheme="minorEastAsia" w:hAnsiTheme="minorEastAsia"/>
          <w:noProof/>
          <w:position w:val="-13"/>
          <w:sz w:val="30"/>
          <w:szCs w:val="30"/>
        </w:rPr>
        <mc:AlternateContent>
          <mc:Choice Requires="wps">
            <w:drawing>
              <wp:inline distT="0" distB="0" distL="114300" distR="114300" wp14:anchorId="7C185FF0" wp14:editId="4E258375">
                <wp:extent cx="5219700" cy="438150"/>
                <wp:effectExtent l="0" t="0" r="0" b="0"/>
                <wp:docPr id="5" name="文本框 4"/>
                <wp:cNvGraphicFramePr/>
                <a:graphic xmlns:a="http://schemas.openxmlformats.org/drawingml/2006/main">
                  <a:graphicData uri="http://schemas.microsoft.com/office/word/2010/wordprocessingShape">
                    <wps:wsp>
                      <wps:cNvSpPr txBox="1"/>
                      <wps:spPr>
                        <a:xfrm>
                          <a:off x="0" y="0"/>
                          <a:ext cx="5219700" cy="438150"/>
                        </a:xfrm>
                        <a:prstGeom prst="rect">
                          <a:avLst/>
                        </a:prstGeom>
                        <a:solidFill>
                          <a:srgbClr val="7E7E7E"/>
                        </a:solidFill>
                        <a:ln w="9525">
                          <a:noFill/>
                        </a:ln>
                      </wps:spPr>
                      <wps:txbx>
                        <w:txbxContent>
                          <w:p w:rsidR="007951E9" w:rsidRPr="00C55D71" w:rsidRDefault="007951E9" w:rsidP="007951E9">
                            <w:pPr>
                              <w:spacing w:before="83"/>
                              <w:ind w:left="1"/>
                              <w:jc w:val="center"/>
                              <w:rPr>
                                <w:rFonts w:ascii="微软雅黑" w:eastAsia="微软雅黑" w:hAnsi="微软雅黑" w:cs="微软雅黑"/>
                                <w:b/>
                                <w:bCs/>
                                <w:i/>
                                <w:color w:val="FFFFFF"/>
                                <w:w w:val="96"/>
                                <w:sz w:val="36"/>
                                <w:szCs w:val="36"/>
                              </w:rPr>
                            </w:pPr>
                            <w:r>
                              <w:rPr>
                                <w:rFonts w:ascii="微软雅黑" w:eastAsia="微软雅黑" w:hAnsi="微软雅黑" w:cs="微软雅黑" w:hint="eastAsia"/>
                                <w:b/>
                                <w:bCs/>
                                <w:i/>
                                <w:color w:val="FFFFFF"/>
                                <w:w w:val="96"/>
                                <w:sz w:val="36"/>
                                <w:szCs w:val="36"/>
                              </w:rPr>
                              <w:t>下阶段</w:t>
                            </w:r>
                            <w:r>
                              <w:rPr>
                                <w:rFonts w:ascii="微软雅黑" w:eastAsia="微软雅黑" w:hAnsi="微软雅黑" w:cs="微软雅黑"/>
                                <w:b/>
                                <w:bCs/>
                                <w:i/>
                                <w:color w:val="FFFFFF"/>
                                <w:w w:val="96"/>
                                <w:sz w:val="36"/>
                                <w:szCs w:val="36"/>
                              </w:rPr>
                              <w:t>操作思路</w:t>
                            </w:r>
                          </w:p>
                        </w:txbxContent>
                      </wps:txbx>
                      <wps:bodyPr lIns="0" tIns="0" rIns="0" bIns="0" upright="1"/>
                    </wps:wsp>
                  </a:graphicData>
                </a:graphic>
              </wp:inline>
            </w:drawing>
          </mc:Choice>
          <mc:Fallback>
            <w:pict>
              <v:shapetype w14:anchorId="7C185FF0" id="_x0000_t202" coordsize="21600,21600" o:spt="202" path="m,l,21600r21600,l21600,xe">
                <v:stroke joinstyle="miter"/>
                <v:path gradientshapeok="t" o:connecttype="rect"/>
              </v:shapetype>
              <v:shape id="_x0000_s1027" type="#_x0000_t202" style="width:411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" fillcolor="#7e7e7e" stroked="f">
                <v:textbox inset="0,0,0,0">
                  <w:txbxContent>
                    <w:p w:rsidR="007951E9" w:rsidRPr="00C55D71" w:rsidRDefault="007951E9" w:rsidP="007951E9">
                      <w:pPr>
                        <w:spacing w:before="83"/>
                        <w:ind w:left="1"/>
                        <w:jc w:val="center"/>
                        <w:rPr>
                          <w:rFonts w:ascii="微软雅黑" w:eastAsia="微软雅黑" w:hAnsi="微软雅黑" w:cs="微软雅黑"/>
                          <w:b/>
                          <w:bCs/>
                          <w:i/>
                          <w:color w:val="FFFFFF"/>
                          <w:w w:val="96"/>
                          <w:sz w:val="36"/>
                          <w:szCs w:val="36"/>
                        </w:rPr>
                      </w:pPr>
                      <w:r>
                        <w:rPr>
                          <w:rFonts w:ascii="微软雅黑" w:eastAsia="微软雅黑" w:hAnsi="微软雅黑" w:cs="微软雅黑" w:hint="eastAsia"/>
                          <w:b/>
                          <w:bCs/>
                          <w:i/>
                          <w:color w:val="FFFFFF"/>
                          <w:w w:val="96"/>
                          <w:sz w:val="36"/>
                          <w:szCs w:val="36"/>
                        </w:rPr>
                        <w:t>下阶段</w:t>
                      </w:r>
                      <w:r>
                        <w:rPr>
                          <w:rFonts w:ascii="微软雅黑" w:eastAsia="微软雅黑" w:hAnsi="微软雅黑" w:cs="微软雅黑"/>
                          <w:b/>
                          <w:bCs/>
                          <w:i/>
                          <w:color w:val="FFFFFF"/>
                          <w:w w:val="96"/>
                          <w:sz w:val="36"/>
                          <w:szCs w:val="36"/>
                        </w:rPr>
                        <w:t>操作思路</w:t>
                      </w:r>
                    </w:p>
                  </w:txbxContent>
                </v:textbox>
                <w10:anchorlock/>
              </v:shape>
            </w:pict>
          </mc:Fallback>
        </mc:AlternateContent>
      </w:r>
    </w:p>
    <w:p w:rsidR="009E0000" w:rsidRDefault="00EB5AC0" w:rsidP="00BA5566">
      <w:pPr>
        <w:pStyle w:val="af8"/>
        <w:shd w:val="clear" w:color="auto" w:fill="FFFFFF"/>
        <w:spacing w:line="480" w:lineRule="auto"/>
        <w:ind w:firstLine="480"/>
        <w:rPr>
          <w:rFonts w:asciiTheme="minorEastAsia" w:hAnsiTheme="minorEastAsia" w:cs="Times New Roman"/>
          <w:color w:val="000000" w:themeColor="text1"/>
          <w:sz w:val="30"/>
          <w:szCs w:val="30"/>
          <w:shd w:val="clear" w:color="auto" w:fill="FFFFFF"/>
        </w:rPr>
      </w:pPr>
      <w:r w:rsidRPr="009B095A">
        <w:rPr>
          <w:rFonts w:asciiTheme="minorEastAsia" w:eastAsiaTheme="minorEastAsia" w:hAnsiTheme="minorEastAsia" w:cs="Times New Roman" w:hint="eastAsia"/>
          <w:b/>
          <w:color w:val="000000" w:themeColor="text1"/>
          <w:sz w:val="30"/>
          <w:szCs w:val="30"/>
          <w:shd w:val="clear" w:color="auto" w:fill="FFFFFF"/>
        </w:rPr>
        <w:t>本月A股</w:t>
      </w:r>
      <w:r w:rsidRPr="009B095A">
        <w:rPr>
          <w:rFonts w:asciiTheme="minorEastAsia" w:eastAsiaTheme="minorEastAsia" w:hAnsiTheme="minorEastAsia" w:cs="Times New Roman"/>
          <w:b/>
          <w:color w:val="000000" w:themeColor="text1"/>
          <w:sz w:val="30"/>
          <w:szCs w:val="30"/>
          <w:shd w:val="clear" w:color="auto" w:fill="FFFFFF"/>
        </w:rPr>
        <w:t>市场</w:t>
      </w:r>
      <w:r w:rsidRPr="009B095A">
        <w:rPr>
          <w:rFonts w:asciiTheme="minorEastAsia" w:eastAsiaTheme="minorEastAsia" w:hAnsiTheme="minorEastAsia" w:cs="Times New Roman" w:hint="eastAsia"/>
          <w:b/>
          <w:color w:val="000000" w:themeColor="text1"/>
          <w:sz w:val="30"/>
          <w:szCs w:val="30"/>
          <w:shd w:val="clear" w:color="auto" w:fill="FFFFFF"/>
        </w:rPr>
        <w:t>先抑后扬</w:t>
      </w:r>
      <w:r w:rsidRPr="009B095A">
        <w:rPr>
          <w:rFonts w:asciiTheme="minorEastAsia" w:eastAsiaTheme="minorEastAsia" w:hAnsiTheme="minorEastAsia" w:cs="Times New Roman"/>
          <w:b/>
          <w:color w:val="000000" w:themeColor="text1"/>
          <w:sz w:val="30"/>
          <w:szCs w:val="30"/>
          <w:shd w:val="clear" w:color="auto" w:fill="FFFFFF"/>
        </w:rPr>
        <w:t>，总体震荡</w:t>
      </w:r>
      <w:r w:rsidRPr="009B095A">
        <w:rPr>
          <w:rFonts w:asciiTheme="minorEastAsia" w:eastAsiaTheme="minorEastAsia" w:hAnsiTheme="minorEastAsia" w:cs="Times New Roman" w:hint="eastAsia"/>
          <w:b/>
          <w:color w:val="000000" w:themeColor="text1"/>
          <w:sz w:val="30"/>
          <w:szCs w:val="30"/>
          <w:shd w:val="clear" w:color="auto" w:fill="FFFFFF"/>
        </w:rPr>
        <w:t>向上</w:t>
      </w:r>
      <w:r w:rsidRPr="009B095A">
        <w:rPr>
          <w:rFonts w:asciiTheme="minorEastAsia" w:eastAsiaTheme="minorEastAsia" w:hAnsiTheme="minorEastAsia" w:cs="Times New Roman"/>
          <w:b/>
          <w:color w:val="000000" w:themeColor="text1"/>
          <w:sz w:val="30"/>
          <w:szCs w:val="30"/>
          <w:shd w:val="clear" w:color="auto" w:fill="FFFFFF"/>
        </w:rPr>
        <w:t>。</w:t>
      </w:r>
      <w:r w:rsidR="00AA3810">
        <w:rPr>
          <w:rFonts w:asciiTheme="minorEastAsia" w:eastAsiaTheme="minorEastAsia" w:hAnsiTheme="minorEastAsia" w:cs="Times New Roman" w:hint="eastAsia"/>
          <w:color w:val="000000" w:themeColor="text1"/>
          <w:sz w:val="30"/>
          <w:szCs w:val="30"/>
          <w:shd w:val="clear" w:color="auto" w:fill="FFFFFF"/>
        </w:rPr>
        <w:t>月初</w:t>
      </w:r>
      <w:r w:rsidR="00A74481">
        <w:rPr>
          <w:rFonts w:asciiTheme="minorEastAsia" w:eastAsiaTheme="minorEastAsia" w:hAnsiTheme="minorEastAsia" w:cs="Times New Roman"/>
          <w:color w:val="000000" w:themeColor="text1"/>
          <w:sz w:val="30"/>
          <w:szCs w:val="30"/>
          <w:shd w:val="clear" w:color="auto" w:fill="FFFFFF"/>
        </w:rPr>
        <w:t>市场</w:t>
      </w:r>
      <w:r w:rsidR="00AA3810">
        <w:rPr>
          <w:rFonts w:asciiTheme="minorEastAsia" w:eastAsiaTheme="minorEastAsia" w:hAnsiTheme="minorEastAsia" w:cs="Times New Roman"/>
          <w:color w:val="000000" w:themeColor="text1"/>
          <w:sz w:val="30"/>
          <w:szCs w:val="30"/>
          <w:shd w:val="clear" w:color="auto" w:fill="FFFFFF"/>
        </w:rPr>
        <w:t>低迷，</w:t>
      </w:r>
      <w:r w:rsidR="001B5E34">
        <w:rPr>
          <w:rFonts w:asciiTheme="minorEastAsia" w:eastAsiaTheme="minorEastAsia" w:hAnsiTheme="minorEastAsia" w:cs="Times New Roman" w:hint="eastAsia"/>
          <w:color w:val="000000" w:themeColor="text1"/>
          <w:sz w:val="30"/>
          <w:szCs w:val="30"/>
          <w:shd w:val="clear" w:color="auto" w:fill="FFFFFF"/>
        </w:rPr>
        <w:t>投资者</w:t>
      </w:r>
      <w:r w:rsidR="006913EA">
        <w:rPr>
          <w:rFonts w:asciiTheme="minorEastAsia" w:eastAsiaTheme="minorEastAsia" w:hAnsiTheme="minorEastAsia" w:cs="Times New Roman"/>
          <w:color w:val="000000" w:themeColor="text1"/>
          <w:sz w:val="30"/>
          <w:szCs w:val="30"/>
          <w:shd w:val="clear" w:color="auto" w:fill="FFFFFF"/>
        </w:rPr>
        <w:t>观望情绪浓</w:t>
      </w:r>
      <w:r w:rsidR="006913EA">
        <w:rPr>
          <w:rFonts w:asciiTheme="minorEastAsia" w:eastAsiaTheme="minorEastAsia" w:hAnsiTheme="minorEastAsia" w:cs="Times New Roman" w:hint="eastAsia"/>
          <w:color w:val="000000" w:themeColor="text1"/>
          <w:sz w:val="30"/>
          <w:szCs w:val="30"/>
          <w:shd w:val="clear" w:color="auto" w:fill="FFFFFF"/>
        </w:rPr>
        <w:t>厚</w:t>
      </w:r>
      <w:r w:rsidR="00FD4519">
        <w:rPr>
          <w:rFonts w:asciiTheme="minorEastAsia" w:eastAsiaTheme="minorEastAsia" w:hAnsiTheme="minorEastAsia" w:cs="Times New Roman" w:hint="eastAsia"/>
          <w:color w:val="000000" w:themeColor="text1"/>
          <w:sz w:val="30"/>
          <w:szCs w:val="30"/>
          <w:shd w:val="clear" w:color="auto" w:fill="FFFFFF"/>
        </w:rPr>
        <w:t>。</w:t>
      </w:r>
      <w:r w:rsidR="00AA3810">
        <w:rPr>
          <w:rFonts w:hint="eastAsia"/>
          <w:sz w:val="30"/>
          <w:szCs w:val="30"/>
          <w:shd w:val="clear" w:color="auto" w:fill="FFFFFF"/>
        </w:rPr>
        <w:t>月末</w:t>
      </w:r>
      <w:r w:rsidR="00FF3CB0">
        <w:rPr>
          <w:rFonts w:hint="eastAsia"/>
          <w:sz w:val="30"/>
          <w:szCs w:val="30"/>
          <w:shd w:val="clear" w:color="auto" w:fill="FFFFFF"/>
        </w:rPr>
        <w:t>，</w:t>
      </w:r>
      <w:r w:rsidR="00541AF8">
        <w:rPr>
          <w:rFonts w:hint="eastAsia"/>
          <w:sz w:val="30"/>
          <w:szCs w:val="30"/>
          <w:shd w:val="clear" w:color="auto" w:fill="FFFFFF"/>
        </w:rPr>
        <w:t>受益</w:t>
      </w:r>
      <w:r w:rsidR="00541AF8">
        <w:rPr>
          <w:sz w:val="30"/>
          <w:szCs w:val="30"/>
          <w:shd w:val="clear" w:color="auto" w:fill="FFFFFF"/>
        </w:rPr>
        <w:t>于</w:t>
      </w:r>
      <w:r w:rsidR="00FF3CB0">
        <w:rPr>
          <w:sz w:val="30"/>
          <w:szCs w:val="30"/>
          <w:shd w:val="clear" w:color="auto" w:fill="FFFFFF"/>
        </w:rPr>
        <w:t>中美两国首脑通话</w:t>
      </w:r>
      <w:r w:rsidR="00B70B03">
        <w:rPr>
          <w:sz w:val="30"/>
          <w:szCs w:val="30"/>
          <w:shd w:val="clear" w:color="auto" w:fill="FFFFFF"/>
        </w:rPr>
        <w:t>，贸易</w:t>
      </w:r>
      <w:r w:rsidR="00D8479A">
        <w:rPr>
          <w:rFonts w:hint="eastAsia"/>
          <w:sz w:val="30"/>
          <w:szCs w:val="30"/>
          <w:shd w:val="clear" w:color="auto" w:fill="FFFFFF"/>
        </w:rPr>
        <w:t>摩擦</w:t>
      </w:r>
      <w:r w:rsidR="00B70B03">
        <w:rPr>
          <w:rFonts w:hint="eastAsia"/>
          <w:sz w:val="30"/>
          <w:szCs w:val="30"/>
          <w:shd w:val="clear" w:color="auto" w:fill="FFFFFF"/>
        </w:rPr>
        <w:t>出现</w:t>
      </w:r>
      <w:r w:rsidR="00B70B03">
        <w:rPr>
          <w:sz w:val="30"/>
          <w:szCs w:val="30"/>
          <w:shd w:val="clear" w:color="auto" w:fill="FFFFFF"/>
        </w:rPr>
        <w:t>缓和</w:t>
      </w:r>
      <w:r w:rsidR="00B70B03">
        <w:rPr>
          <w:rFonts w:hint="eastAsia"/>
          <w:sz w:val="30"/>
          <w:szCs w:val="30"/>
          <w:shd w:val="clear" w:color="auto" w:fill="FFFFFF"/>
        </w:rPr>
        <w:t>，</w:t>
      </w:r>
      <w:r w:rsidR="00541AF8">
        <w:rPr>
          <w:rFonts w:hint="eastAsia"/>
          <w:sz w:val="30"/>
          <w:szCs w:val="30"/>
          <w:shd w:val="clear" w:color="auto" w:fill="FFFFFF"/>
        </w:rPr>
        <w:t>全球</w:t>
      </w:r>
      <w:r w:rsidR="00541AF8">
        <w:rPr>
          <w:sz w:val="30"/>
          <w:szCs w:val="30"/>
          <w:shd w:val="clear" w:color="auto" w:fill="FFFFFF"/>
        </w:rPr>
        <w:t>货币政策进一步宽松</w:t>
      </w:r>
      <w:r w:rsidR="00FF3CB0">
        <w:rPr>
          <w:rFonts w:hint="eastAsia"/>
          <w:sz w:val="30"/>
          <w:szCs w:val="30"/>
          <w:shd w:val="clear" w:color="auto" w:fill="FFFFFF"/>
        </w:rPr>
        <w:t>，</w:t>
      </w:r>
      <w:r w:rsidR="00541AF8">
        <w:rPr>
          <w:rFonts w:hint="eastAsia"/>
          <w:sz w:val="30"/>
          <w:szCs w:val="30"/>
          <w:shd w:val="clear" w:color="auto" w:fill="FFFFFF"/>
        </w:rPr>
        <w:t>A股</w:t>
      </w:r>
      <w:r w:rsidR="00541AF8">
        <w:rPr>
          <w:sz w:val="30"/>
          <w:szCs w:val="30"/>
          <w:shd w:val="clear" w:color="auto" w:fill="FFFFFF"/>
        </w:rPr>
        <w:t>“</w:t>
      </w:r>
      <w:r w:rsidR="00541AF8">
        <w:rPr>
          <w:rFonts w:hint="eastAsia"/>
          <w:sz w:val="30"/>
          <w:szCs w:val="30"/>
          <w:shd w:val="clear" w:color="auto" w:fill="FFFFFF"/>
        </w:rPr>
        <w:t>入富</w:t>
      </w:r>
      <w:r w:rsidR="00541AF8">
        <w:rPr>
          <w:sz w:val="30"/>
          <w:szCs w:val="30"/>
          <w:shd w:val="clear" w:color="auto" w:fill="FFFFFF"/>
        </w:rPr>
        <w:t>”</w:t>
      </w:r>
      <w:r w:rsidR="00541AF8">
        <w:rPr>
          <w:rFonts w:hint="eastAsia"/>
          <w:sz w:val="30"/>
          <w:szCs w:val="30"/>
          <w:shd w:val="clear" w:color="auto" w:fill="FFFFFF"/>
        </w:rPr>
        <w:t>等</w:t>
      </w:r>
      <w:r w:rsidR="00541AF8">
        <w:rPr>
          <w:sz w:val="30"/>
          <w:szCs w:val="30"/>
          <w:shd w:val="clear" w:color="auto" w:fill="FFFFFF"/>
        </w:rPr>
        <w:t>一系</w:t>
      </w:r>
      <w:r w:rsidR="00541AF8">
        <w:rPr>
          <w:sz w:val="30"/>
          <w:szCs w:val="30"/>
          <w:shd w:val="clear" w:color="auto" w:fill="FFFFFF"/>
        </w:rPr>
        <w:lastRenderedPageBreak/>
        <w:t>列利好</w:t>
      </w:r>
      <w:r w:rsidR="00C575E0">
        <w:rPr>
          <w:rFonts w:hint="eastAsia"/>
          <w:sz w:val="30"/>
          <w:szCs w:val="30"/>
          <w:shd w:val="clear" w:color="auto" w:fill="FFFFFF"/>
        </w:rPr>
        <w:t>因素</w:t>
      </w:r>
      <w:r w:rsidR="00C575E0">
        <w:rPr>
          <w:sz w:val="30"/>
          <w:szCs w:val="30"/>
          <w:shd w:val="clear" w:color="auto" w:fill="FFFFFF"/>
        </w:rPr>
        <w:t>的</w:t>
      </w:r>
      <w:r w:rsidR="00541AF8">
        <w:rPr>
          <w:sz w:val="30"/>
          <w:szCs w:val="30"/>
          <w:shd w:val="clear" w:color="auto" w:fill="FFFFFF"/>
        </w:rPr>
        <w:t>驱动，</w:t>
      </w:r>
      <w:r w:rsidR="00CF01F2">
        <w:rPr>
          <w:rFonts w:hint="eastAsia"/>
          <w:sz w:val="30"/>
          <w:szCs w:val="30"/>
          <w:shd w:val="clear" w:color="auto" w:fill="FFFFFF"/>
        </w:rPr>
        <w:t>两</w:t>
      </w:r>
      <w:r w:rsidR="00AA3810">
        <w:rPr>
          <w:rFonts w:hint="eastAsia"/>
          <w:sz w:val="30"/>
          <w:szCs w:val="30"/>
          <w:shd w:val="clear" w:color="auto" w:fill="FFFFFF"/>
        </w:rPr>
        <w:t>市</w:t>
      </w:r>
      <w:r w:rsidR="00A74481">
        <w:rPr>
          <w:rFonts w:hint="eastAsia"/>
          <w:sz w:val="30"/>
          <w:szCs w:val="30"/>
          <w:shd w:val="clear" w:color="auto" w:fill="FFFFFF"/>
        </w:rPr>
        <w:t>触底</w:t>
      </w:r>
      <w:r w:rsidR="00AA3810">
        <w:rPr>
          <w:sz w:val="30"/>
          <w:szCs w:val="30"/>
          <w:shd w:val="clear" w:color="auto" w:fill="FFFFFF"/>
        </w:rPr>
        <w:t>反弹，沪指</w:t>
      </w:r>
      <w:r w:rsidR="00A74481">
        <w:rPr>
          <w:rFonts w:hint="eastAsia"/>
          <w:sz w:val="30"/>
          <w:szCs w:val="30"/>
          <w:shd w:val="clear" w:color="auto" w:fill="FFFFFF"/>
        </w:rPr>
        <w:t>回到</w:t>
      </w:r>
      <w:r w:rsidR="00AA3810">
        <w:rPr>
          <w:rFonts w:hint="eastAsia"/>
          <w:sz w:val="30"/>
          <w:szCs w:val="30"/>
          <w:shd w:val="clear" w:color="auto" w:fill="FFFFFF"/>
        </w:rPr>
        <w:t>3000点</w:t>
      </w:r>
      <w:r w:rsidR="00A74481">
        <w:rPr>
          <w:rFonts w:hint="eastAsia"/>
          <w:sz w:val="30"/>
          <w:szCs w:val="30"/>
          <w:shd w:val="clear" w:color="auto" w:fill="FFFFFF"/>
        </w:rPr>
        <w:t>附近</w:t>
      </w:r>
      <w:r w:rsidR="00A54FC9">
        <w:rPr>
          <w:rFonts w:hint="eastAsia"/>
          <w:sz w:val="30"/>
          <w:szCs w:val="30"/>
          <w:shd w:val="clear" w:color="auto" w:fill="FFFFFF"/>
        </w:rPr>
        <w:t>，</w:t>
      </w:r>
      <w:r w:rsidR="00A54FC9">
        <w:rPr>
          <w:sz w:val="30"/>
          <w:szCs w:val="30"/>
          <w:shd w:val="clear" w:color="auto" w:fill="FFFFFF"/>
        </w:rPr>
        <w:t>但受制于</w:t>
      </w:r>
      <w:r w:rsidR="00865315">
        <w:rPr>
          <w:sz w:val="30"/>
          <w:szCs w:val="30"/>
          <w:shd w:val="clear" w:color="auto" w:fill="FFFFFF"/>
        </w:rPr>
        <w:t>贸易谈判</w:t>
      </w:r>
      <w:r w:rsidR="00A74481">
        <w:rPr>
          <w:rFonts w:hint="eastAsia"/>
          <w:sz w:val="30"/>
          <w:szCs w:val="30"/>
          <w:shd w:val="clear" w:color="auto" w:fill="FFFFFF"/>
        </w:rPr>
        <w:t>最终</w:t>
      </w:r>
      <w:r w:rsidR="00A74481">
        <w:rPr>
          <w:sz w:val="30"/>
          <w:szCs w:val="30"/>
          <w:shd w:val="clear" w:color="auto" w:fill="FFFFFF"/>
        </w:rPr>
        <w:t>的</w:t>
      </w:r>
      <w:r w:rsidR="00A54FC9">
        <w:rPr>
          <w:sz w:val="30"/>
          <w:szCs w:val="30"/>
          <w:shd w:val="clear" w:color="auto" w:fill="FFFFFF"/>
        </w:rPr>
        <w:t>确定性</w:t>
      </w:r>
      <w:r w:rsidR="00A74481">
        <w:rPr>
          <w:rFonts w:hint="eastAsia"/>
          <w:sz w:val="30"/>
          <w:szCs w:val="30"/>
          <w:shd w:val="clear" w:color="auto" w:fill="FFFFFF"/>
        </w:rPr>
        <w:t>问题</w:t>
      </w:r>
      <w:r w:rsidR="00A54FC9">
        <w:rPr>
          <w:sz w:val="30"/>
          <w:szCs w:val="30"/>
          <w:shd w:val="clear" w:color="auto" w:fill="FFFFFF"/>
        </w:rPr>
        <w:t>，</w:t>
      </w:r>
      <w:r w:rsidR="00A74481">
        <w:rPr>
          <w:rFonts w:hint="eastAsia"/>
          <w:sz w:val="30"/>
          <w:szCs w:val="30"/>
          <w:shd w:val="clear" w:color="auto" w:fill="FFFFFF"/>
        </w:rPr>
        <w:t>整体</w:t>
      </w:r>
      <w:r w:rsidR="00A74481">
        <w:rPr>
          <w:sz w:val="30"/>
          <w:szCs w:val="30"/>
          <w:shd w:val="clear" w:color="auto" w:fill="FFFFFF"/>
        </w:rPr>
        <w:t>市场仍然有所犹豫</w:t>
      </w:r>
      <w:r w:rsidR="003232D7">
        <w:rPr>
          <w:rFonts w:hint="eastAsia"/>
          <w:sz w:val="30"/>
          <w:szCs w:val="30"/>
          <w:shd w:val="clear" w:color="auto" w:fill="FFFFFF"/>
        </w:rPr>
        <w:t>。</w:t>
      </w:r>
      <w:r w:rsidR="00A74481">
        <w:rPr>
          <w:rFonts w:hint="eastAsia"/>
          <w:sz w:val="30"/>
          <w:szCs w:val="30"/>
          <w:shd w:val="clear" w:color="auto" w:fill="FFFFFF"/>
        </w:rPr>
        <w:t>但是，</w:t>
      </w:r>
      <w:r w:rsidR="00A74481">
        <w:rPr>
          <w:sz w:val="30"/>
          <w:szCs w:val="30"/>
          <w:shd w:val="clear" w:color="auto" w:fill="FFFFFF"/>
        </w:rPr>
        <w:t>结构性的机会明显</w:t>
      </w:r>
      <w:r w:rsidR="00A74481">
        <w:rPr>
          <w:rFonts w:hint="eastAsia"/>
          <w:sz w:val="30"/>
          <w:szCs w:val="30"/>
          <w:shd w:val="clear" w:color="auto" w:fill="FFFFFF"/>
        </w:rPr>
        <w:t>，</w:t>
      </w:r>
      <w:r w:rsidR="00865315">
        <w:rPr>
          <w:rFonts w:hint="eastAsia"/>
          <w:sz w:val="30"/>
          <w:szCs w:val="30"/>
          <w:shd w:val="clear" w:color="auto" w:fill="FFFFFF"/>
        </w:rPr>
        <w:t>本月</w:t>
      </w:r>
      <w:r w:rsidR="00A74481">
        <w:rPr>
          <w:sz w:val="30"/>
          <w:szCs w:val="30"/>
          <w:shd w:val="clear" w:color="auto" w:fill="FFFFFF"/>
        </w:rPr>
        <w:t>很多优秀股票都创出了历史新高。</w:t>
      </w:r>
      <w:r w:rsidR="0037228D" w:rsidRPr="009B095A">
        <w:rPr>
          <w:rFonts w:hint="eastAsia"/>
          <w:b/>
          <w:sz w:val="30"/>
          <w:szCs w:val="30"/>
          <w:shd w:val="clear" w:color="auto" w:fill="FFFFFF"/>
        </w:rPr>
        <w:t>展望</w:t>
      </w:r>
      <w:r w:rsidR="0022260D" w:rsidRPr="009B095A">
        <w:rPr>
          <w:b/>
          <w:sz w:val="30"/>
          <w:szCs w:val="30"/>
          <w:shd w:val="clear" w:color="auto" w:fill="FFFFFF"/>
        </w:rPr>
        <w:t>后市，我们认为</w:t>
      </w:r>
      <w:r w:rsidR="0022260D" w:rsidRPr="009B095A">
        <w:rPr>
          <w:rFonts w:hint="eastAsia"/>
          <w:b/>
          <w:sz w:val="30"/>
          <w:szCs w:val="30"/>
          <w:shd w:val="clear" w:color="auto" w:fill="FFFFFF"/>
        </w:rPr>
        <w:t>震荡行情</w:t>
      </w:r>
      <w:r w:rsidR="0022260D" w:rsidRPr="009B095A">
        <w:rPr>
          <w:b/>
          <w:sz w:val="30"/>
          <w:szCs w:val="30"/>
          <w:shd w:val="clear" w:color="auto" w:fill="FFFFFF"/>
        </w:rPr>
        <w:t>将延续</w:t>
      </w:r>
      <w:r w:rsidR="0037228D" w:rsidRPr="009B095A">
        <w:rPr>
          <w:b/>
          <w:sz w:val="30"/>
          <w:szCs w:val="30"/>
          <w:shd w:val="clear" w:color="auto" w:fill="FFFFFF"/>
        </w:rPr>
        <w:t>，</w:t>
      </w:r>
      <w:r w:rsidR="006A0989" w:rsidRPr="009B095A">
        <w:rPr>
          <w:rFonts w:hint="eastAsia"/>
          <w:b/>
          <w:sz w:val="30"/>
          <w:szCs w:val="30"/>
          <w:shd w:val="clear" w:color="auto" w:fill="FFFFFF"/>
        </w:rPr>
        <w:t>虽然短期</w:t>
      </w:r>
      <w:r w:rsidR="006A0989" w:rsidRPr="009B095A">
        <w:rPr>
          <w:b/>
          <w:sz w:val="30"/>
          <w:szCs w:val="30"/>
          <w:shd w:val="clear" w:color="auto" w:fill="FFFFFF"/>
        </w:rPr>
        <w:t>内</w:t>
      </w:r>
      <w:r w:rsidR="006A0989" w:rsidRPr="009B095A">
        <w:rPr>
          <w:rFonts w:hint="eastAsia"/>
          <w:b/>
          <w:sz w:val="30"/>
          <w:szCs w:val="30"/>
          <w:shd w:val="clear" w:color="auto" w:fill="FFFFFF"/>
        </w:rPr>
        <w:t>贸易</w:t>
      </w:r>
      <w:r w:rsidR="006A0989" w:rsidRPr="009B095A">
        <w:rPr>
          <w:b/>
          <w:sz w:val="30"/>
          <w:szCs w:val="30"/>
          <w:shd w:val="clear" w:color="auto" w:fill="FFFFFF"/>
        </w:rPr>
        <w:t>谈判</w:t>
      </w:r>
      <w:r w:rsidR="006A0989" w:rsidRPr="009B095A">
        <w:rPr>
          <w:rFonts w:hint="eastAsia"/>
          <w:b/>
          <w:sz w:val="30"/>
          <w:szCs w:val="30"/>
          <w:shd w:val="clear" w:color="auto" w:fill="FFFFFF"/>
        </w:rPr>
        <w:t>对</w:t>
      </w:r>
      <w:r w:rsidR="006A0989" w:rsidRPr="009B095A">
        <w:rPr>
          <w:b/>
          <w:sz w:val="30"/>
          <w:szCs w:val="30"/>
          <w:shd w:val="clear" w:color="auto" w:fill="FFFFFF"/>
        </w:rPr>
        <w:t>市场有不可避免的扰动，</w:t>
      </w:r>
      <w:r w:rsidR="006A0989" w:rsidRPr="009B095A">
        <w:rPr>
          <w:rFonts w:hint="eastAsia"/>
          <w:b/>
          <w:sz w:val="30"/>
          <w:szCs w:val="30"/>
          <w:shd w:val="clear" w:color="auto" w:fill="FFFFFF"/>
        </w:rPr>
        <w:t>但领导层</w:t>
      </w:r>
      <w:r w:rsidR="006A0989" w:rsidRPr="009B095A">
        <w:rPr>
          <w:rFonts w:asciiTheme="minorEastAsia" w:hAnsiTheme="minorEastAsia" w:cs="Times New Roman"/>
          <w:b/>
          <w:color w:val="000000" w:themeColor="text1"/>
          <w:sz w:val="30"/>
          <w:szCs w:val="30"/>
          <w:shd w:val="clear" w:color="auto" w:fill="FFFFFF"/>
        </w:rPr>
        <w:t>适时适度实施逆周期调节</w:t>
      </w:r>
      <w:r w:rsidR="006A0989" w:rsidRPr="009B095A">
        <w:rPr>
          <w:rFonts w:asciiTheme="minorEastAsia" w:hAnsiTheme="minorEastAsia" w:cs="Times New Roman" w:hint="eastAsia"/>
          <w:b/>
          <w:color w:val="000000" w:themeColor="text1"/>
          <w:sz w:val="30"/>
          <w:szCs w:val="30"/>
          <w:shd w:val="clear" w:color="auto" w:fill="FFFFFF"/>
        </w:rPr>
        <w:t>用以</w:t>
      </w:r>
      <w:r w:rsidR="006A0989" w:rsidRPr="009B095A">
        <w:rPr>
          <w:rFonts w:asciiTheme="minorEastAsia" w:hAnsiTheme="minorEastAsia" w:cs="Times New Roman"/>
          <w:b/>
          <w:color w:val="000000" w:themeColor="text1"/>
          <w:sz w:val="30"/>
          <w:szCs w:val="30"/>
          <w:shd w:val="clear" w:color="auto" w:fill="FFFFFF"/>
        </w:rPr>
        <w:t>应对国际国内经济金融形势的深刻变化</w:t>
      </w:r>
      <w:r w:rsidR="00CC7DCE" w:rsidRPr="009B095A">
        <w:rPr>
          <w:rFonts w:asciiTheme="minorEastAsia" w:hAnsiTheme="minorEastAsia" w:cs="Times New Roman" w:hint="eastAsia"/>
          <w:b/>
          <w:color w:val="000000" w:themeColor="text1"/>
          <w:sz w:val="30"/>
          <w:szCs w:val="30"/>
          <w:shd w:val="clear" w:color="auto" w:fill="FFFFFF"/>
        </w:rPr>
        <w:t>之</w:t>
      </w:r>
      <w:r w:rsidR="00F64F1A" w:rsidRPr="009B095A">
        <w:rPr>
          <w:rFonts w:asciiTheme="minorEastAsia" w:hAnsiTheme="minorEastAsia" w:cs="Times New Roman"/>
          <w:b/>
          <w:color w:val="000000" w:themeColor="text1"/>
          <w:sz w:val="30"/>
          <w:szCs w:val="30"/>
          <w:shd w:val="clear" w:color="auto" w:fill="FFFFFF"/>
        </w:rPr>
        <w:t>决心不变</w:t>
      </w:r>
      <w:r w:rsidR="0022260D" w:rsidRPr="009B095A">
        <w:rPr>
          <w:rFonts w:asciiTheme="minorEastAsia" w:hAnsiTheme="minorEastAsia" w:cs="Times New Roman" w:hint="eastAsia"/>
          <w:b/>
          <w:color w:val="000000" w:themeColor="text1"/>
          <w:sz w:val="30"/>
          <w:szCs w:val="30"/>
          <w:shd w:val="clear" w:color="auto" w:fill="FFFFFF"/>
        </w:rPr>
        <w:t>，</w:t>
      </w:r>
      <w:r w:rsidR="0022260D" w:rsidRPr="009B095A">
        <w:rPr>
          <w:rFonts w:asciiTheme="minorEastAsia" w:hAnsiTheme="minorEastAsia" w:cs="Times New Roman"/>
          <w:b/>
          <w:color w:val="000000" w:themeColor="text1"/>
          <w:sz w:val="30"/>
          <w:szCs w:val="30"/>
          <w:shd w:val="clear" w:color="auto" w:fill="FFFFFF"/>
        </w:rPr>
        <w:t>因而</w:t>
      </w:r>
      <w:r w:rsidR="00C471AB" w:rsidRPr="009B095A">
        <w:rPr>
          <w:rFonts w:asciiTheme="minorEastAsia" w:hAnsiTheme="minorEastAsia" w:cs="Times New Roman" w:hint="eastAsia"/>
          <w:b/>
          <w:color w:val="000000" w:themeColor="text1"/>
          <w:sz w:val="30"/>
          <w:szCs w:val="30"/>
          <w:shd w:val="clear" w:color="auto" w:fill="FFFFFF"/>
        </w:rPr>
        <w:t>若</w:t>
      </w:r>
      <w:r w:rsidR="0022260D" w:rsidRPr="009B095A">
        <w:rPr>
          <w:rFonts w:asciiTheme="minorEastAsia" w:hAnsiTheme="minorEastAsia" w:cs="Times New Roman"/>
          <w:b/>
          <w:color w:val="000000" w:themeColor="text1"/>
          <w:sz w:val="30"/>
          <w:szCs w:val="30"/>
          <w:shd w:val="clear" w:color="auto" w:fill="FFFFFF"/>
        </w:rPr>
        <w:t>市场下行</w:t>
      </w:r>
      <w:r w:rsidR="0022260D" w:rsidRPr="009B095A">
        <w:rPr>
          <w:rFonts w:asciiTheme="minorEastAsia" w:hAnsiTheme="minorEastAsia" w:cs="Times New Roman" w:hint="eastAsia"/>
          <w:b/>
          <w:color w:val="000000" w:themeColor="text1"/>
          <w:sz w:val="30"/>
          <w:szCs w:val="30"/>
          <w:shd w:val="clear" w:color="auto" w:fill="FFFFFF"/>
        </w:rPr>
        <w:t>，</w:t>
      </w:r>
      <w:r w:rsidR="0022260D" w:rsidRPr="009B095A">
        <w:rPr>
          <w:rFonts w:asciiTheme="minorEastAsia" w:hAnsiTheme="minorEastAsia" w:cs="Times New Roman"/>
          <w:b/>
          <w:color w:val="000000" w:themeColor="text1"/>
          <w:sz w:val="30"/>
          <w:szCs w:val="30"/>
          <w:shd w:val="clear" w:color="auto" w:fill="FFFFFF"/>
        </w:rPr>
        <w:t>空间也有限</w:t>
      </w:r>
      <w:r w:rsidR="00A831D6" w:rsidRPr="009B095A">
        <w:rPr>
          <w:rFonts w:asciiTheme="minorEastAsia" w:hAnsiTheme="minorEastAsia" w:cs="Times New Roman" w:hint="eastAsia"/>
          <w:b/>
          <w:color w:val="000000" w:themeColor="text1"/>
          <w:sz w:val="30"/>
          <w:szCs w:val="30"/>
          <w:shd w:val="clear" w:color="auto" w:fill="FFFFFF"/>
        </w:rPr>
        <w:t>，</w:t>
      </w:r>
      <w:r w:rsidR="00FC41D8" w:rsidRPr="009B095A">
        <w:rPr>
          <w:rFonts w:asciiTheme="minorEastAsia" w:hAnsiTheme="minorEastAsia" w:cs="Times New Roman" w:hint="eastAsia"/>
          <w:b/>
          <w:color w:val="000000" w:themeColor="text1"/>
          <w:sz w:val="30"/>
          <w:szCs w:val="30"/>
          <w:shd w:val="clear" w:color="auto" w:fill="FFFFFF"/>
        </w:rPr>
        <w:t>尤其是</w:t>
      </w:r>
      <w:r w:rsidR="00FC41D8" w:rsidRPr="009B095A">
        <w:rPr>
          <w:rFonts w:asciiTheme="minorEastAsia" w:hAnsiTheme="minorEastAsia" w:cs="Times New Roman"/>
          <w:b/>
          <w:color w:val="000000" w:themeColor="text1"/>
          <w:sz w:val="30"/>
          <w:szCs w:val="30"/>
          <w:shd w:val="clear" w:color="auto" w:fill="FFFFFF"/>
        </w:rPr>
        <w:t>特别优质的股票下跌空间更加有限。</w:t>
      </w:r>
      <w:r w:rsidR="001953B3">
        <w:rPr>
          <w:rFonts w:asciiTheme="minorEastAsia" w:hAnsiTheme="minorEastAsia" w:cs="Times New Roman" w:hint="eastAsia"/>
          <w:color w:val="000000" w:themeColor="text1"/>
          <w:sz w:val="30"/>
          <w:szCs w:val="30"/>
          <w:shd w:val="clear" w:color="auto" w:fill="FFFFFF"/>
        </w:rPr>
        <w:t>其次</w:t>
      </w:r>
      <w:r w:rsidR="001953B3">
        <w:rPr>
          <w:rFonts w:asciiTheme="minorEastAsia" w:hAnsiTheme="minorEastAsia" w:cs="Times New Roman"/>
          <w:color w:val="000000" w:themeColor="text1"/>
          <w:sz w:val="30"/>
          <w:szCs w:val="30"/>
          <w:shd w:val="clear" w:color="auto" w:fill="FFFFFF"/>
        </w:rPr>
        <w:t>，</w:t>
      </w:r>
      <w:r w:rsidR="00920806">
        <w:rPr>
          <w:rFonts w:asciiTheme="minorEastAsia" w:hAnsiTheme="minorEastAsia" w:cs="Times New Roman" w:hint="eastAsia"/>
          <w:color w:val="000000" w:themeColor="text1"/>
          <w:sz w:val="30"/>
          <w:szCs w:val="30"/>
          <w:shd w:val="clear" w:color="auto" w:fill="FFFFFF"/>
        </w:rPr>
        <w:t>在管理层</w:t>
      </w:r>
      <w:r w:rsidR="00920806">
        <w:rPr>
          <w:rFonts w:asciiTheme="minorEastAsia" w:hAnsiTheme="minorEastAsia" w:cs="Times New Roman"/>
          <w:color w:val="000000" w:themeColor="text1"/>
          <w:sz w:val="30"/>
          <w:szCs w:val="30"/>
          <w:shd w:val="clear" w:color="auto" w:fill="FFFFFF"/>
        </w:rPr>
        <w:t>逆周期政策稳增长和调结构</w:t>
      </w:r>
      <w:r w:rsidR="00D06ACC">
        <w:rPr>
          <w:rFonts w:asciiTheme="minorEastAsia" w:hAnsiTheme="minorEastAsia" w:cs="Times New Roman" w:hint="eastAsia"/>
          <w:color w:val="000000" w:themeColor="text1"/>
          <w:sz w:val="30"/>
          <w:szCs w:val="30"/>
          <w:shd w:val="clear" w:color="auto" w:fill="FFFFFF"/>
        </w:rPr>
        <w:t>持续</w:t>
      </w:r>
      <w:r w:rsidR="009E4F60">
        <w:rPr>
          <w:rFonts w:asciiTheme="minorEastAsia" w:hAnsiTheme="minorEastAsia" w:cs="Times New Roman"/>
          <w:color w:val="000000" w:themeColor="text1"/>
          <w:sz w:val="30"/>
          <w:szCs w:val="30"/>
          <w:shd w:val="clear" w:color="auto" w:fill="FFFFFF"/>
        </w:rPr>
        <w:t>发力</w:t>
      </w:r>
      <w:r w:rsidR="00920806">
        <w:rPr>
          <w:rFonts w:asciiTheme="minorEastAsia" w:hAnsiTheme="minorEastAsia" w:cs="Times New Roman"/>
          <w:color w:val="000000" w:themeColor="text1"/>
          <w:sz w:val="30"/>
          <w:szCs w:val="30"/>
          <w:shd w:val="clear" w:color="auto" w:fill="FFFFFF"/>
        </w:rPr>
        <w:t>的背景下，</w:t>
      </w:r>
      <w:r w:rsidR="009E0000">
        <w:rPr>
          <w:rFonts w:asciiTheme="minorEastAsia" w:hAnsiTheme="minorEastAsia" w:cs="Times New Roman"/>
          <w:color w:val="000000" w:themeColor="text1"/>
          <w:sz w:val="30"/>
          <w:szCs w:val="30"/>
          <w:shd w:val="clear" w:color="auto" w:fill="FFFFFF"/>
        </w:rPr>
        <w:t>科创板</w:t>
      </w:r>
      <w:r w:rsidR="009E0000">
        <w:rPr>
          <w:rFonts w:asciiTheme="minorEastAsia" w:hAnsiTheme="minorEastAsia" w:cs="Times New Roman" w:hint="eastAsia"/>
          <w:color w:val="000000" w:themeColor="text1"/>
          <w:sz w:val="30"/>
          <w:szCs w:val="30"/>
          <w:shd w:val="clear" w:color="auto" w:fill="FFFFFF"/>
        </w:rPr>
        <w:t>已经</w:t>
      </w:r>
      <w:r w:rsidR="009E0000">
        <w:rPr>
          <w:rFonts w:asciiTheme="minorEastAsia" w:hAnsiTheme="minorEastAsia" w:cs="Times New Roman"/>
          <w:color w:val="000000" w:themeColor="text1"/>
          <w:sz w:val="30"/>
          <w:szCs w:val="30"/>
          <w:shd w:val="clear" w:color="auto" w:fill="FFFFFF"/>
        </w:rPr>
        <w:t>顺利开板</w:t>
      </w:r>
      <w:r w:rsidR="009E0000">
        <w:rPr>
          <w:rFonts w:asciiTheme="minorEastAsia" w:hAnsiTheme="minorEastAsia" w:cs="Times New Roman" w:hint="eastAsia"/>
          <w:color w:val="000000" w:themeColor="text1"/>
          <w:sz w:val="30"/>
          <w:szCs w:val="30"/>
          <w:shd w:val="clear" w:color="auto" w:fill="FFFFFF"/>
        </w:rPr>
        <w:t>，以及</w:t>
      </w:r>
      <w:r w:rsidR="009E0000">
        <w:rPr>
          <w:sz w:val="30"/>
          <w:szCs w:val="30"/>
          <w:shd w:val="clear" w:color="auto" w:fill="FFFFFF"/>
        </w:rPr>
        <w:t>证监会就修改《</w:t>
      </w:r>
      <w:r w:rsidR="009E0000">
        <w:rPr>
          <w:rFonts w:hint="eastAsia"/>
          <w:sz w:val="30"/>
          <w:szCs w:val="30"/>
          <w:shd w:val="clear" w:color="auto" w:fill="FFFFFF"/>
        </w:rPr>
        <w:t>上市</w:t>
      </w:r>
      <w:r w:rsidR="009E0000">
        <w:rPr>
          <w:sz w:val="30"/>
          <w:szCs w:val="30"/>
          <w:shd w:val="clear" w:color="auto" w:fill="FFFFFF"/>
        </w:rPr>
        <w:t>公司重大资产重组管理办法》</w:t>
      </w:r>
      <w:r w:rsidR="009E0000">
        <w:rPr>
          <w:rFonts w:hint="eastAsia"/>
          <w:sz w:val="30"/>
          <w:szCs w:val="30"/>
          <w:shd w:val="clear" w:color="auto" w:fill="FFFFFF"/>
        </w:rPr>
        <w:t>向</w:t>
      </w:r>
      <w:r w:rsidR="009E0000">
        <w:rPr>
          <w:sz w:val="30"/>
          <w:szCs w:val="30"/>
          <w:shd w:val="clear" w:color="auto" w:fill="FFFFFF"/>
        </w:rPr>
        <w:t>社会公开征求意见</w:t>
      </w:r>
      <w:r w:rsidR="009E0000">
        <w:rPr>
          <w:rFonts w:hint="eastAsia"/>
          <w:sz w:val="30"/>
          <w:szCs w:val="30"/>
          <w:shd w:val="clear" w:color="auto" w:fill="FFFFFF"/>
        </w:rPr>
        <w:t>，</w:t>
      </w:r>
      <w:r w:rsidR="007205F3">
        <w:rPr>
          <w:rFonts w:hint="eastAsia"/>
          <w:sz w:val="30"/>
          <w:szCs w:val="30"/>
          <w:shd w:val="clear" w:color="auto" w:fill="FFFFFF"/>
        </w:rPr>
        <w:t>这</w:t>
      </w:r>
      <w:r w:rsidR="007205F3">
        <w:rPr>
          <w:sz w:val="30"/>
          <w:szCs w:val="30"/>
          <w:shd w:val="clear" w:color="auto" w:fill="FFFFFF"/>
        </w:rPr>
        <w:t>都</w:t>
      </w:r>
      <w:r w:rsidR="00BA5566">
        <w:rPr>
          <w:rFonts w:hint="eastAsia"/>
          <w:sz w:val="30"/>
          <w:szCs w:val="30"/>
          <w:shd w:val="clear" w:color="auto" w:fill="FFFFFF"/>
        </w:rPr>
        <w:t>有利于</w:t>
      </w:r>
      <w:r w:rsidR="009E0000">
        <w:rPr>
          <w:rFonts w:asciiTheme="minorEastAsia" w:hAnsiTheme="minorEastAsia" w:cs="Times New Roman" w:hint="eastAsia"/>
          <w:color w:val="000000" w:themeColor="text1"/>
          <w:sz w:val="30"/>
          <w:szCs w:val="30"/>
          <w:shd w:val="clear" w:color="auto" w:fill="FFFFFF"/>
        </w:rPr>
        <w:t>提升</w:t>
      </w:r>
      <w:r w:rsidR="009E0000">
        <w:rPr>
          <w:rFonts w:asciiTheme="minorEastAsia" w:hAnsiTheme="minorEastAsia" w:cs="Times New Roman"/>
          <w:color w:val="000000" w:themeColor="text1"/>
          <w:sz w:val="30"/>
          <w:szCs w:val="30"/>
          <w:shd w:val="clear" w:color="auto" w:fill="FFFFFF"/>
        </w:rPr>
        <w:t>投资者的风险偏好，</w:t>
      </w:r>
      <w:r w:rsidR="00BA5566">
        <w:rPr>
          <w:rFonts w:asciiTheme="minorEastAsia" w:hAnsiTheme="minorEastAsia" w:cs="Times New Roman" w:hint="eastAsia"/>
          <w:color w:val="000000" w:themeColor="text1"/>
          <w:sz w:val="30"/>
          <w:szCs w:val="30"/>
          <w:shd w:val="clear" w:color="auto" w:fill="FFFFFF"/>
        </w:rPr>
        <w:t>活跃</w:t>
      </w:r>
      <w:r w:rsidR="009E0000">
        <w:rPr>
          <w:rFonts w:asciiTheme="minorEastAsia" w:hAnsiTheme="minorEastAsia" w:cs="Times New Roman"/>
          <w:color w:val="000000" w:themeColor="text1"/>
          <w:sz w:val="30"/>
          <w:szCs w:val="30"/>
          <w:shd w:val="clear" w:color="auto" w:fill="FFFFFF"/>
        </w:rPr>
        <w:t>市场人气</w:t>
      </w:r>
      <w:r w:rsidR="009E0000">
        <w:rPr>
          <w:rFonts w:asciiTheme="minorEastAsia" w:hAnsiTheme="minorEastAsia" w:cs="Times New Roman" w:hint="eastAsia"/>
          <w:color w:val="000000" w:themeColor="text1"/>
          <w:sz w:val="30"/>
          <w:szCs w:val="30"/>
          <w:shd w:val="clear" w:color="auto" w:fill="FFFFFF"/>
        </w:rPr>
        <w:t>。</w:t>
      </w:r>
      <w:r w:rsidR="00FC41D8">
        <w:rPr>
          <w:rFonts w:asciiTheme="minorEastAsia" w:hAnsiTheme="minorEastAsia" w:cs="Times New Roman" w:hint="eastAsia"/>
          <w:color w:val="000000" w:themeColor="text1"/>
          <w:sz w:val="30"/>
          <w:szCs w:val="30"/>
          <w:shd w:val="clear" w:color="auto" w:fill="FFFFFF"/>
        </w:rPr>
        <w:t>站在</w:t>
      </w:r>
      <w:r w:rsidR="00FC41D8">
        <w:rPr>
          <w:rFonts w:asciiTheme="minorEastAsia" w:hAnsiTheme="minorEastAsia" w:cs="Times New Roman"/>
          <w:color w:val="000000" w:themeColor="text1"/>
          <w:sz w:val="30"/>
          <w:szCs w:val="30"/>
          <w:shd w:val="clear" w:color="auto" w:fill="FFFFFF"/>
        </w:rPr>
        <w:t>中长期来看，对市场完全不用太悲观</w:t>
      </w:r>
      <w:r w:rsidR="00FC41D8">
        <w:rPr>
          <w:rFonts w:asciiTheme="minorEastAsia" w:hAnsiTheme="minorEastAsia" w:cs="Times New Roman" w:hint="eastAsia"/>
          <w:color w:val="000000" w:themeColor="text1"/>
          <w:sz w:val="30"/>
          <w:szCs w:val="30"/>
          <w:shd w:val="clear" w:color="auto" w:fill="FFFFFF"/>
        </w:rPr>
        <w:t>。</w:t>
      </w:r>
    </w:p>
    <w:p w:rsidR="00CF66D4" w:rsidRPr="0004670D" w:rsidRDefault="00CF66D4" w:rsidP="00CF66D4">
      <w:pPr>
        <w:pStyle w:val="af8"/>
        <w:shd w:val="clear" w:color="auto" w:fill="FFFFFF"/>
        <w:spacing w:line="480" w:lineRule="auto"/>
        <w:ind w:firstLine="480"/>
        <w:rPr>
          <w:rFonts w:asciiTheme="minorEastAsia" w:eastAsiaTheme="minorEastAsia" w:hAnsiTheme="minorEastAsia" w:cs="Times New Roman"/>
          <w:color w:val="000000" w:themeColor="text1"/>
          <w:sz w:val="30"/>
          <w:szCs w:val="30"/>
          <w:shd w:val="clear" w:color="auto" w:fill="FFFFFF"/>
        </w:rPr>
      </w:pPr>
      <w:r w:rsidRPr="0004670D">
        <w:rPr>
          <w:rFonts w:asciiTheme="minorEastAsia" w:eastAsiaTheme="minorEastAsia" w:hAnsiTheme="minorEastAsia" w:cs="Times New Roman" w:hint="eastAsia"/>
          <w:color w:val="000000" w:themeColor="text1"/>
          <w:sz w:val="30"/>
          <w:szCs w:val="30"/>
          <w:shd w:val="clear" w:color="auto" w:fill="FFFFFF"/>
        </w:rPr>
        <w:t>本月我们基金产品在保持总体仓位稳定的同时</w:t>
      </w:r>
      <w:r>
        <w:rPr>
          <w:rFonts w:asciiTheme="minorEastAsia" w:eastAsiaTheme="minorEastAsia" w:hAnsiTheme="minorEastAsia" w:cs="Times New Roman" w:hint="eastAsia"/>
          <w:color w:val="000000" w:themeColor="text1"/>
          <w:sz w:val="30"/>
          <w:szCs w:val="30"/>
          <w:shd w:val="clear" w:color="auto" w:fill="FFFFFF"/>
        </w:rPr>
        <w:t>，</w:t>
      </w:r>
      <w:r>
        <w:rPr>
          <w:rFonts w:asciiTheme="minorEastAsia" w:eastAsiaTheme="minorEastAsia" w:hAnsiTheme="minorEastAsia" w:cs="Times New Roman"/>
          <w:color w:val="000000" w:themeColor="text1"/>
          <w:sz w:val="30"/>
          <w:szCs w:val="30"/>
          <w:shd w:val="clear" w:color="auto" w:fill="FFFFFF"/>
        </w:rPr>
        <w:t>聚焦</w:t>
      </w:r>
      <w:r>
        <w:rPr>
          <w:rFonts w:asciiTheme="minorEastAsia" w:eastAsiaTheme="minorEastAsia" w:hAnsiTheme="minorEastAsia" w:cs="Times New Roman" w:hint="eastAsia"/>
          <w:color w:val="000000" w:themeColor="text1"/>
          <w:sz w:val="30"/>
          <w:szCs w:val="30"/>
          <w:shd w:val="clear" w:color="auto" w:fill="FFFFFF"/>
        </w:rPr>
        <w:t>A股</w:t>
      </w:r>
      <w:r>
        <w:rPr>
          <w:rFonts w:asciiTheme="minorEastAsia" w:eastAsiaTheme="minorEastAsia" w:hAnsiTheme="minorEastAsia" w:cs="Times New Roman"/>
          <w:color w:val="000000" w:themeColor="text1"/>
          <w:sz w:val="30"/>
          <w:szCs w:val="30"/>
          <w:shd w:val="clear" w:color="auto" w:fill="FFFFFF"/>
        </w:rPr>
        <w:t>优质核心资产投资，</w:t>
      </w:r>
      <w:r>
        <w:rPr>
          <w:rFonts w:asciiTheme="minorEastAsia" w:eastAsiaTheme="minorEastAsia" w:hAnsiTheme="minorEastAsia" w:cs="Times New Roman" w:hint="eastAsia"/>
          <w:color w:val="000000" w:themeColor="text1"/>
          <w:sz w:val="30"/>
          <w:szCs w:val="30"/>
          <w:shd w:val="clear" w:color="auto" w:fill="FFFFFF"/>
        </w:rPr>
        <w:t>在</w:t>
      </w:r>
      <w:r w:rsidRPr="0004670D">
        <w:rPr>
          <w:rFonts w:asciiTheme="minorEastAsia" w:eastAsiaTheme="minorEastAsia" w:hAnsiTheme="minorEastAsia" w:cs="Times New Roman" w:hint="eastAsia"/>
          <w:color w:val="000000" w:themeColor="text1"/>
          <w:sz w:val="30"/>
          <w:szCs w:val="30"/>
          <w:shd w:val="clear" w:color="auto" w:fill="FFFFFF"/>
        </w:rPr>
        <w:t>反复震荡的行情中，</w:t>
      </w:r>
      <w:r w:rsidR="004E154D">
        <w:rPr>
          <w:rFonts w:asciiTheme="minorEastAsia" w:eastAsiaTheme="minorEastAsia" w:hAnsiTheme="minorEastAsia" w:cs="Times New Roman" w:hint="eastAsia"/>
          <w:color w:val="000000" w:themeColor="text1"/>
          <w:sz w:val="30"/>
          <w:szCs w:val="30"/>
          <w:shd w:val="clear" w:color="auto" w:fill="FFFFFF"/>
        </w:rPr>
        <w:t>很</w:t>
      </w:r>
      <w:r w:rsidR="004E154D">
        <w:rPr>
          <w:rFonts w:asciiTheme="minorEastAsia" w:eastAsiaTheme="minorEastAsia" w:hAnsiTheme="minorEastAsia" w:cs="Times New Roman"/>
          <w:color w:val="000000" w:themeColor="text1"/>
          <w:sz w:val="30"/>
          <w:szCs w:val="30"/>
          <w:shd w:val="clear" w:color="auto" w:fill="FFFFFF"/>
        </w:rPr>
        <w:t>多优质个股</w:t>
      </w:r>
      <w:r w:rsidR="00D12E4B">
        <w:rPr>
          <w:rFonts w:asciiTheme="minorEastAsia" w:eastAsiaTheme="minorEastAsia" w:hAnsiTheme="minorEastAsia" w:cs="Times New Roman" w:hint="eastAsia"/>
          <w:color w:val="000000" w:themeColor="text1"/>
          <w:sz w:val="30"/>
          <w:szCs w:val="30"/>
          <w:shd w:val="clear" w:color="auto" w:fill="FFFFFF"/>
        </w:rPr>
        <w:t>股价</w:t>
      </w:r>
      <w:r w:rsidR="004E154D">
        <w:rPr>
          <w:rFonts w:asciiTheme="minorEastAsia" w:eastAsiaTheme="minorEastAsia" w:hAnsiTheme="minorEastAsia" w:cs="Times New Roman"/>
          <w:color w:val="000000" w:themeColor="text1"/>
          <w:sz w:val="30"/>
          <w:szCs w:val="30"/>
          <w:shd w:val="clear" w:color="auto" w:fill="FFFFFF"/>
        </w:rPr>
        <w:t>都创出</w:t>
      </w:r>
      <w:r w:rsidR="00D12E4B">
        <w:rPr>
          <w:rFonts w:asciiTheme="minorEastAsia" w:eastAsiaTheme="minorEastAsia" w:hAnsiTheme="minorEastAsia" w:cs="Times New Roman" w:hint="eastAsia"/>
          <w:color w:val="000000" w:themeColor="text1"/>
          <w:sz w:val="30"/>
          <w:szCs w:val="30"/>
          <w:shd w:val="clear" w:color="auto" w:fill="FFFFFF"/>
        </w:rPr>
        <w:t>了</w:t>
      </w:r>
      <w:r w:rsidR="004E154D">
        <w:rPr>
          <w:rFonts w:asciiTheme="minorEastAsia" w:eastAsiaTheme="minorEastAsia" w:hAnsiTheme="minorEastAsia" w:cs="Times New Roman"/>
          <w:color w:val="000000" w:themeColor="text1"/>
          <w:sz w:val="30"/>
          <w:szCs w:val="30"/>
          <w:shd w:val="clear" w:color="auto" w:fill="FFFFFF"/>
        </w:rPr>
        <w:t>历史新高，</w:t>
      </w:r>
      <w:r w:rsidR="006C1FC8">
        <w:rPr>
          <w:rFonts w:hint="eastAsia"/>
          <w:sz w:val="30"/>
          <w:szCs w:val="30"/>
          <w:shd w:val="clear" w:color="auto" w:fill="FFFFFF"/>
        </w:rPr>
        <w:t>我们</w:t>
      </w:r>
      <w:r w:rsidR="006C1FC8">
        <w:rPr>
          <w:sz w:val="30"/>
          <w:szCs w:val="30"/>
          <w:shd w:val="clear" w:color="auto" w:fill="FFFFFF"/>
        </w:rPr>
        <w:t>长期判断</w:t>
      </w:r>
      <w:r w:rsidR="004E154D">
        <w:rPr>
          <w:rFonts w:asciiTheme="minorEastAsia" w:eastAsiaTheme="minorEastAsia" w:hAnsiTheme="minorEastAsia" w:cs="Times New Roman"/>
          <w:color w:val="000000" w:themeColor="text1"/>
          <w:sz w:val="30"/>
          <w:szCs w:val="30"/>
          <w:shd w:val="clear" w:color="auto" w:fill="FFFFFF"/>
        </w:rPr>
        <w:t>这些</w:t>
      </w:r>
      <w:r w:rsidR="004E154D">
        <w:rPr>
          <w:rFonts w:asciiTheme="minorEastAsia" w:eastAsiaTheme="minorEastAsia" w:hAnsiTheme="minorEastAsia" w:cs="Times New Roman" w:hint="eastAsia"/>
          <w:color w:val="000000" w:themeColor="text1"/>
          <w:sz w:val="30"/>
          <w:szCs w:val="30"/>
          <w:shd w:val="clear" w:color="auto" w:fill="FFFFFF"/>
        </w:rPr>
        <w:t>优质</w:t>
      </w:r>
      <w:r w:rsidR="004E154D">
        <w:rPr>
          <w:rFonts w:asciiTheme="minorEastAsia" w:eastAsiaTheme="minorEastAsia" w:hAnsiTheme="minorEastAsia" w:cs="Times New Roman"/>
          <w:color w:val="000000" w:themeColor="text1"/>
          <w:sz w:val="30"/>
          <w:szCs w:val="30"/>
          <w:shd w:val="clear" w:color="auto" w:fill="FFFFFF"/>
        </w:rPr>
        <w:t>个股能穿越牛熊，</w:t>
      </w:r>
      <w:r w:rsidR="00D12E4B">
        <w:rPr>
          <w:rFonts w:asciiTheme="minorEastAsia" w:eastAsiaTheme="minorEastAsia" w:hAnsiTheme="minorEastAsia" w:cs="Times New Roman" w:hint="eastAsia"/>
          <w:color w:val="000000" w:themeColor="text1"/>
          <w:sz w:val="30"/>
          <w:szCs w:val="30"/>
          <w:shd w:val="clear" w:color="auto" w:fill="FFFFFF"/>
        </w:rPr>
        <w:t>在</w:t>
      </w:r>
      <w:r w:rsidR="00101209">
        <w:rPr>
          <w:rFonts w:asciiTheme="minorEastAsia" w:eastAsiaTheme="minorEastAsia" w:hAnsiTheme="minorEastAsia" w:cs="Times New Roman" w:hint="eastAsia"/>
          <w:color w:val="000000" w:themeColor="text1"/>
          <w:sz w:val="30"/>
          <w:szCs w:val="30"/>
          <w:shd w:val="clear" w:color="auto" w:fill="FFFFFF"/>
        </w:rPr>
        <w:t>公司</w:t>
      </w:r>
      <w:r w:rsidR="00D12E4B">
        <w:rPr>
          <w:rFonts w:asciiTheme="minorEastAsia" w:eastAsiaTheme="minorEastAsia" w:hAnsiTheme="minorEastAsia" w:cs="Times New Roman"/>
          <w:color w:val="000000" w:themeColor="text1"/>
          <w:sz w:val="30"/>
          <w:szCs w:val="30"/>
          <w:shd w:val="clear" w:color="auto" w:fill="FFFFFF"/>
        </w:rPr>
        <w:t>业绩长期稳定增长的驱动下，即使</w:t>
      </w:r>
      <w:r w:rsidR="00F94C4A">
        <w:rPr>
          <w:rFonts w:asciiTheme="minorEastAsia" w:eastAsiaTheme="minorEastAsia" w:hAnsiTheme="minorEastAsia" w:cs="Times New Roman" w:hint="eastAsia"/>
          <w:color w:val="000000" w:themeColor="text1"/>
          <w:sz w:val="30"/>
          <w:szCs w:val="30"/>
          <w:shd w:val="clear" w:color="auto" w:fill="FFFFFF"/>
        </w:rPr>
        <w:t>股价</w:t>
      </w:r>
      <w:r w:rsidR="008A3ACB">
        <w:rPr>
          <w:rFonts w:asciiTheme="minorEastAsia" w:eastAsiaTheme="minorEastAsia" w:hAnsiTheme="minorEastAsia" w:cs="Times New Roman"/>
          <w:color w:val="000000" w:themeColor="text1"/>
          <w:sz w:val="30"/>
          <w:szCs w:val="30"/>
          <w:shd w:val="clear" w:color="auto" w:fill="FFFFFF"/>
        </w:rPr>
        <w:t>短期</w:t>
      </w:r>
      <w:r w:rsidR="00D12E4B">
        <w:rPr>
          <w:rFonts w:asciiTheme="minorEastAsia" w:eastAsiaTheme="minorEastAsia" w:hAnsiTheme="minorEastAsia" w:cs="Times New Roman"/>
          <w:color w:val="000000" w:themeColor="text1"/>
          <w:sz w:val="30"/>
          <w:szCs w:val="30"/>
          <w:shd w:val="clear" w:color="auto" w:fill="FFFFFF"/>
        </w:rPr>
        <w:t>有回调，也不改</w:t>
      </w:r>
      <w:r w:rsidR="00F94C4A">
        <w:rPr>
          <w:rFonts w:hint="eastAsia"/>
          <w:sz w:val="30"/>
          <w:szCs w:val="30"/>
          <w:shd w:val="clear" w:color="auto" w:fill="FFFFFF"/>
        </w:rPr>
        <w:t>其长期</w:t>
      </w:r>
      <w:r w:rsidR="00C878DB">
        <w:rPr>
          <w:sz w:val="30"/>
          <w:szCs w:val="30"/>
          <w:shd w:val="clear" w:color="auto" w:fill="FFFFFF"/>
        </w:rPr>
        <w:t>向上</w:t>
      </w:r>
      <w:r w:rsidR="008A3ACB">
        <w:rPr>
          <w:rFonts w:hint="eastAsia"/>
          <w:sz w:val="30"/>
          <w:szCs w:val="30"/>
          <w:shd w:val="clear" w:color="auto" w:fill="FFFFFF"/>
        </w:rPr>
        <w:t>的</w:t>
      </w:r>
      <w:r w:rsidR="00D12E4B">
        <w:rPr>
          <w:sz w:val="30"/>
          <w:szCs w:val="30"/>
          <w:shd w:val="clear" w:color="auto" w:fill="FFFFFF"/>
        </w:rPr>
        <w:t>态势</w:t>
      </w:r>
      <w:r w:rsidR="00D12E4B">
        <w:rPr>
          <w:rFonts w:hint="eastAsia"/>
          <w:sz w:val="30"/>
          <w:szCs w:val="30"/>
          <w:shd w:val="clear" w:color="auto" w:fill="FFFFFF"/>
        </w:rPr>
        <w:t>。</w:t>
      </w:r>
      <w:r w:rsidR="00D12E4B">
        <w:rPr>
          <w:sz w:val="30"/>
          <w:szCs w:val="30"/>
          <w:shd w:val="clear" w:color="auto" w:fill="FFFFFF"/>
        </w:rPr>
        <w:t>因此，</w:t>
      </w:r>
      <w:r w:rsidR="00D12E4B">
        <w:rPr>
          <w:rFonts w:hint="eastAsia"/>
          <w:sz w:val="30"/>
          <w:szCs w:val="30"/>
          <w:shd w:val="clear" w:color="auto" w:fill="FFFFFF"/>
        </w:rPr>
        <w:t>本月</w:t>
      </w:r>
      <w:r w:rsidR="00D12E4B">
        <w:rPr>
          <w:sz w:val="30"/>
          <w:szCs w:val="30"/>
          <w:shd w:val="clear" w:color="auto" w:fill="FFFFFF"/>
        </w:rPr>
        <w:t>我们</w:t>
      </w:r>
      <w:r w:rsidRPr="0004670D">
        <w:rPr>
          <w:rFonts w:asciiTheme="minorEastAsia" w:eastAsiaTheme="minorEastAsia" w:hAnsiTheme="minorEastAsia" w:cs="Times New Roman" w:hint="eastAsia"/>
          <w:color w:val="000000" w:themeColor="text1"/>
          <w:sz w:val="30"/>
          <w:szCs w:val="30"/>
          <w:shd w:val="clear" w:color="auto" w:fill="FFFFFF"/>
        </w:rPr>
        <w:t>产品净值</w:t>
      </w:r>
      <w:r w:rsidR="00200F17">
        <w:rPr>
          <w:rFonts w:asciiTheme="minorEastAsia" w:eastAsiaTheme="minorEastAsia" w:hAnsiTheme="minorEastAsia" w:cs="Times New Roman" w:hint="eastAsia"/>
          <w:color w:val="000000" w:themeColor="text1"/>
          <w:sz w:val="30"/>
          <w:szCs w:val="30"/>
          <w:shd w:val="clear" w:color="auto" w:fill="FFFFFF"/>
        </w:rPr>
        <w:t>稳步上升</w:t>
      </w:r>
      <w:r w:rsidR="006845AB">
        <w:rPr>
          <w:rFonts w:asciiTheme="minorEastAsia" w:eastAsiaTheme="minorEastAsia" w:hAnsiTheme="minorEastAsia" w:cs="Times New Roman" w:hint="eastAsia"/>
          <w:color w:val="000000" w:themeColor="text1"/>
          <w:sz w:val="30"/>
          <w:szCs w:val="30"/>
          <w:shd w:val="clear" w:color="auto" w:fill="FFFFFF"/>
        </w:rPr>
        <w:t>，</w:t>
      </w:r>
      <w:r w:rsidR="00490454">
        <w:rPr>
          <w:rFonts w:asciiTheme="minorEastAsia" w:eastAsiaTheme="minorEastAsia" w:hAnsiTheme="minorEastAsia" w:cs="Times New Roman" w:hint="eastAsia"/>
          <w:color w:val="000000" w:themeColor="text1"/>
          <w:sz w:val="30"/>
          <w:szCs w:val="30"/>
          <w:shd w:val="clear" w:color="auto" w:fill="FFFFFF"/>
        </w:rPr>
        <w:t>甚至</w:t>
      </w:r>
      <w:r w:rsidR="00490454">
        <w:rPr>
          <w:rFonts w:asciiTheme="minorEastAsia" w:eastAsiaTheme="minorEastAsia" w:hAnsiTheme="minorEastAsia" w:cs="Times New Roman"/>
          <w:color w:val="000000" w:themeColor="text1"/>
          <w:sz w:val="30"/>
          <w:szCs w:val="30"/>
          <w:shd w:val="clear" w:color="auto" w:fill="FFFFFF"/>
        </w:rPr>
        <w:t>部分产品净值</w:t>
      </w:r>
      <w:r w:rsidR="006845AB">
        <w:rPr>
          <w:rFonts w:asciiTheme="minorEastAsia" w:eastAsiaTheme="minorEastAsia" w:hAnsiTheme="minorEastAsia" w:cs="Times New Roman" w:hint="eastAsia"/>
          <w:color w:val="000000" w:themeColor="text1"/>
          <w:sz w:val="30"/>
          <w:szCs w:val="30"/>
          <w:shd w:val="clear" w:color="auto" w:fill="FFFFFF"/>
        </w:rPr>
        <w:t>创出</w:t>
      </w:r>
      <w:r w:rsidR="006845AB">
        <w:rPr>
          <w:rFonts w:asciiTheme="minorEastAsia" w:eastAsiaTheme="minorEastAsia" w:hAnsiTheme="minorEastAsia" w:cs="Times New Roman"/>
          <w:color w:val="000000" w:themeColor="text1"/>
          <w:sz w:val="30"/>
          <w:szCs w:val="30"/>
          <w:shd w:val="clear" w:color="auto" w:fill="FFFFFF"/>
        </w:rPr>
        <w:t>了新高</w:t>
      </w:r>
      <w:r w:rsidRPr="0004670D">
        <w:rPr>
          <w:rFonts w:asciiTheme="minorEastAsia" w:eastAsiaTheme="minorEastAsia" w:hAnsiTheme="minorEastAsia" w:cs="Times New Roman" w:hint="eastAsia"/>
          <w:color w:val="000000" w:themeColor="text1"/>
          <w:sz w:val="30"/>
          <w:szCs w:val="30"/>
          <w:shd w:val="clear" w:color="auto" w:fill="FFFFFF"/>
        </w:rPr>
        <w:t>。我们</w:t>
      </w:r>
      <w:r>
        <w:rPr>
          <w:rFonts w:asciiTheme="minorEastAsia" w:eastAsiaTheme="minorEastAsia" w:hAnsiTheme="minorEastAsia" w:cs="Times New Roman" w:hint="eastAsia"/>
          <w:color w:val="000000" w:themeColor="text1"/>
          <w:sz w:val="30"/>
          <w:szCs w:val="30"/>
          <w:shd w:val="clear" w:color="auto" w:fill="FFFFFF"/>
        </w:rPr>
        <w:t>将</w:t>
      </w:r>
      <w:r>
        <w:rPr>
          <w:rFonts w:asciiTheme="minorEastAsia" w:eastAsiaTheme="minorEastAsia" w:hAnsiTheme="minorEastAsia" w:cs="Times New Roman"/>
          <w:color w:val="000000" w:themeColor="text1"/>
          <w:sz w:val="30"/>
          <w:szCs w:val="30"/>
          <w:shd w:val="clear" w:color="auto" w:fill="FFFFFF"/>
        </w:rPr>
        <w:t>坚定</w:t>
      </w:r>
      <w:r>
        <w:rPr>
          <w:rFonts w:asciiTheme="minorEastAsia" w:eastAsiaTheme="minorEastAsia" w:hAnsiTheme="minorEastAsia" w:cs="Times New Roman" w:hint="eastAsia"/>
          <w:color w:val="000000" w:themeColor="text1"/>
          <w:sz w:val="30"/>
          <w:szCs w:val="30"/>
          <w:shd w:val="clear" w:color="auto" w:fill="FFFFFF"/>
        </w:rPr>
        <w:t>长期</w:t>
      </w:r>
      <w:r w:rsidRPr="0004670D">
        <w:rPr>
          <w:rFonts w:asciiTheme="minorEastAsia" w:eastAsiaTheme="minorEastAsia" w:hAnsiTheme="minorEastAsia" w:cs="Times New Roman" w:hint="eastAsia"/>
          <w:color w:val="000000" w:themeColor="text1"/>
          <w:sz w:val="30"/>
          <w:szCs w:val="30"/>
          <w:shd w:val="clear" w:color="auto" w:fill="FFFFFF"/>
        </w:rPr>
        <w:t>坚持优中选优的投资理念，</w:t>
      </w:r>
      <w:r>
        <w:rPr>
          <w:rFonts w:asciiTheme="minorEastAsia" w:eastAsiaTheme="minorEastAsia" w:hAnsiTheme="minorEastAsia" w:cs="Times New Roman" w:hint="eastAsia"/>
          <w:color w:val="000000" w:themeColor="text1"/>
          <w:sz w:val="30"/>
          <w:szCs w:val="30"/>
          <w:shd w:val="clear" w:color="auto" w:fill="FFFFFF"/>
        </w:rPr>
        <w:t>精选</w:t>
      </w:r>
      <w:r w:rsidRPr="0004670D">
        <w:rPr>
          <w:rFonts w:asciiTheme="minorEastAsia" w:eastAsiaTheme="minorEastAsia" w:hAnsiTheme="minorEastAsia" w:cs="Times New Roman" w:hint="eastAsia"/>
          <w:color w:val="000000" w:themeColor="text1"/>
          <w:sz w:val="30"/>
          <w:szCs w:val="30"/>
          <w:shd w:val="clear" w:color="auto" w:fill="FFFFFF"/>
        </w:rPr>
        <w:t>优质龙头企业</w:t>
      </w:r>
      <w:r>
        <w:rPr>
          <w:rFonts w:asciiTheme="minorEastAsia" w:eastAsiaTheme="minorEastAsia" w:hAnsiTheme="minorEastAsia" w:cs="Times New Roman" w:hint="eastAsia"/>
          <w:color w:val="000000" w:themeColor="text1"/>
          <w:sz w:val="30"/>
          <w:szCs w:val="30"/>
          <w:shd w:val="clear" w:color="auto" w:fill="FFFFFF"/>
        </w:rPr>
        <w:t>长期</w:t>
      </w:r>
      <w:r w:rsidR="00FC41D8">
        <w:rPr>
          <w:rFonts w:asciiTheme="minorEastAsia" w:eastAsiaTheme="minorEastAsia" w:hAnsiTheme="minorEastAsia" w:cs="Times New Roman" w:hint="eastAsia"/>
          <w:color w:val="000000" w:themeColor="text1"/>
          <w:sz w:val="30"/>
          <w:szCs w:val="30"/>
          <w:shd w:val="clear" w:color="auto" w:fill="FFFFFF"/>
        </w:rPr>
        <w:t>集中</w:t>
      </w:r>
      <w:r w:rsidRPr="0004670D">
        <w:rPr>
          <w:rFonts w:asciiTheme="minorEastAsia" w:eastAsiaTheme="minorEastAsia" w:hAnsiTheme="minorEastAsia" w:cs="Times New Roman" w:hint="eastAsia"/>
          <w:color w:val="000000" w:themeColor="text1"/>
          <w:sz w:val="30"/>
          <w:szCs w:val="30"/>
          <w:shd w:val="clear" w:color="auto" w:fill="FFFFFF"/>
        </w:rPr>
        <w:t>投资，在防范与控制风险的同时，力求产品净值的稳健上升。请投资者一如既往放心</w:t>
      </w:r>
      <w:r w:rsidRPr="0004670D">
        <w:rPr>
          <w:rFonts w:asciiTheme="minorEastAsia" w:eastAsiaTheme="minorEastAsia" w:hAnsiTheme="minorEastAsia" w:cs="Times New Roman" w:hint="eastAsia"/>
          <w:color w:val="000000" w:themeColor="text1"/>
          <w:sz w:val="30"/>
          <w:szCs w:val="30"/>
          <w:shd w:val="clear" w:color="auto" w:fill="FFFFFF"/>
        </w:rPr>
        <w:lastRenderedPageBreak/>
        <w:t>地将资产交给我们，长期我们一定会给广大投资者带来稳健优良的投资回报！</w:t>
      </w:r>
    </w:p>
    <w:p w:rsidR="00772E65" w:rsidRDefault="00772E65" w:rsidP="00FA7F15">
      <w:pPr>
        <w:pStyle w:val="af8"/>
        <w:shd w:val="clear" w:color="auto" w:fill="FFFFFF"/>
        <w:spacing w:before="0" w:beforeAutospacing="0" w:after="0" w:afterAutospacing="0" w:line="480" w:lineRule="auto"/>
        <w:rPr>
          <w:rFonts w:asciiTheme="minorEastAsia" w:eastAsiaTheme="minorEastAsia" w:hAnsiTheme="minorEastAsia" w:cstheme="minorBidi"/>
          <w:color w:val="000000" w:themeColor="text1"/>
          <w:sz w:val="30"/>
          <w:szCs w:val="30"/>
          <w:shd w:val="clear" w:color="auto" w:fill="FFFFFF"/>
        </w:rPr>
      </w:pPr>
    </w:p>
    <w:p w:rsidR="005372DC" w:rsidRPr="006D5323" w:rsidRDefault="005372DC" w:rsidP="00FA7F15">
      <w:pPr>
        <w:pStyle w:val="af8"/>
        <w:shd w:val="clear" w:color="auto" w:fill="FFFFFF"/>
        <w:spacing w:before="0" w:beforeAutospacing="0" w:after="0" w:afterAutospacing="0" w:line="480" w:lineRule="auto"/>
        <w:rPr>
          <w:rFonts w:asciiTheme="minorEastAsia" w:eastAsiaTheme="minorEastAsia" w:hAnsiTheme="minorEastAsia" w:cstheme="minorBidi"/>
          <w:color w:val="000000" w:themeColor="text1"/>
          <w:sz w:val="30"/>
          <w:szCs w:val="30"/>
          <w:shd w:val="clear" w:color="auto" w:fill="FFFFFF"/>
        </w:rPr>
      </w:pPr>
    </w:p>
    <w:p w:rsidR="000B545F" w:rsidRPr="00B0577D" w:rsidRDefault="000B545F" w:rsidP="00B0577D">
      <w:pPr>
        <w:spacing w:line="480" w:lineRule="auto"/>
        <w:ind w:firstLineChars="200" w:firstLine="422"/>
        <w:rPr>
          <w:rFonts w:asciiTheme="minorEastAsia" w:hAnsiTheme="minorEastAsia"/>
          <w:b/>
          <w:sz w:val="21"/>
          <w:szCs w:val="21"/>
        </w:rPr>
      </w:pPr>
      <w:r w:rsidRPr="00B0577D">
        <w:rPr>
          <w:rFonts w:ascii="MS Mincho" w:eastAsia="MS Mincho" w:hAnsi="MS Mincho" w:cs="MS Mincho" w:hint="eastAsia"/>
          <w:b/>
          <w:sz w:val="21"/>
          <w:szCs w:val="21"/>
        </w:rPr>
        <w:t>➢</w:t>
      </w:r>
      <w:r w:rsidRPr="00B0577D">
        <w:rPr>
          <w:rFonts w:asciiTheme="minorEastAsia" w:hAnsiTheme="minorEastAsia"/>
          <w:b/>
          <w:sz w:val="21"/>
          <w:szCs w:val="21"/>
        </w:rPr>
        <w:tab/>
        <w:t>风险提示及免责声明：</w:t>
      </w:r>
    </w:p>
    <w:p w:rsidR="00B92AA0" w:rsidRPr="00887111" w:rsidRDefault="000B545F" w:rsidP="00887111">
      <w:pPr>
        <w:spacing w:line="480" w:lineRule="auto"/>
        <w:ind w:firstLineChars="200" w:firstLine="422"/>
        <w:rPr>
          <w:rFonts w:asciiTheme="minorEastAsia" w:hAnsiTheme="minorEastAsia"/>
          <w:b/>
          <w:sz w:val="21"/>
          <w:szCs w:val="21"/>
        </w:rPr>
      </w:pPr>
      <w:r w:rsidRPr="00B0577D">
        <w:rPr>
          <w:rFonts w:asciiTheme="minorEastAsia" w:hAnsiTheme="minorEastAsia"/>
          <w:b/>
          <w:sz w:val="21"/>
          <w:szCs w:val="21"/>
        </w:rPr>
        <w:t>本报告由上海朴石投资管理合伙企业</w:t>
      </w:r>
      <w:r w:rsidRPr="00B0577D">
        <w:rPr>
          <w:rFonts w:asciiTheme="minorEastAsia" w:hAnsiTheme="minorEastAsia" w:hint="eastAsia"/>
          <w:b/>
          <w:sz w:val="21"/>
          <w:szCs w:val="21"/>
        </w:rPr>
        <w:t>（有限</w:t>
      </w:r>
      <w:r w:rsidRPr="00B0577D">
        <w:rPr>
          <w:rFonts w:asciiTheme="minorEastAsia" w:hAnsiTheme="minorEastAsia"/>
          <w:b/>
          <w:sz w:val="21"/>
          <w:szCs w:val="21"/>
        </w:rPr>
        <w:t>合伙</w:t>
      </w:r>
      <w:r w:rsidRPr="00B0577D">
        <w:rPr>
          <w:rFonts w:asciiTheme="minorEastAsia" w:hAnsiTheme="minorEastAsia" w:hint="eastAsia"/>
          <w:b/>
          <w:sz w:val="21"/>
          <w:szCs w:val="21"/>
        </w:rPr>
        <w:t>）</w:t>
      </w:r>
      <w:r w:rsidRPr="00B0577D">
        <w:rPr>
          <w:rFonts w:asciiTheme="minorEastAsia" w:hAnsiTheme="minorEastAsia"/>
          <w:b/>
          <w:sz w:val="21"/>
          <w:szCs w:val="21"/>
        </w:rPr>
        <w:t>编写，</w:t>
      </w:r>
      <w:r w:rsidRPr="00B0577D">
        <w:rPr>
          <w:rFonts w:asciiTheme="minorEastAsia" w:hAnsiTheme="minorEastAsia" w:hint="eastAsia"/>
          <w:b/>
          <w:sz w:val="21"/>
          <w:szCs w:val="21"/>
        </w:rPr>
        <w:t>以下</w:t>
      </w:r>
      <w:r w:rsidRPr="00B0577D">
        <w:rPr>
          <w:rFonts w:asciiTheme="minorEastAsia" w:hAnsiTheme="minorEastAsia"/>
          <w:b/>
          <w:sz w:val="21"/>
          <w:szCs w:val="21"/>
        </w:rPr>
        <w:t>简称 “</w:t>
      </w:r>
      <w:r w:rsidRPr="00B0577D">
        <w:rPr>
          <w:rFonts w:asciiTheme="minorEastAsia" w:hAnsiTheme="minorEastAsia" w:hint="eastAsia"/>
          <w:b/>
          <w:sz w:val="21"/>
          <w:szCs w:val="21"/>
        </w:rPr>
        <w:t>本</w:t>
      </w:r>
      <w:r w:rsidRPr="00B0577D">
        <w:rPr>
          <w:rFonts w:asciiTheme="minorEastAsia" w:hAnsiTheme="minorEastAsia"/>
          <w:b/>
          <w:sz w:val="21"/>
          <w:szCs w:val="21"/>
        </w:rPr>
        <w:t>公司”</w:t>
      </w:r>
      <w:r w:rsidRPr="00B0577D">
        <w:rPr>
          <w:rFonts w:asciiTheme="minorEastAsia" w:hAnsiTheme="minorEastAsia" w:hint="eastAsia"/>
          <w:b/>
          <w:sz w:val="21"/>
          <w:szCs w:val="21"/>
        </w:rPr>
        <w:t>。</w:t>
      </w:r>
      <w:r w:rsidRPr="00B0577D">
        <w:rPr>
          <w:rFonts w:asciiTheme="minorEastAsia" w:hAnsiTheme="minorEastAsia"/>
          <w:b/>
          <w:sz w:val="21"/>
          <w:szCs w:val="21"/>
        </w:rPr>
        <w:t>未经</w:t>
      </w:r>
      <w:r w:rsidRPr="00B0577D">
        <w:rPr>
          <w:rFonts w:asciiTheme="minorEastAsia" w:hAnsiTheme="minorEastAsia" w:hint="eastAsia"/>
          <w:b/>
          <w:sz w:val="21"/>
          <w:szCs w:val="21"/>
        </w:rPr>
        <w:t>本公司</w:t>
      </w:r>
      <w:r w:rsidRPr="00B0577D">
        <w:rPr>
          <w:rFonts w:asciiTheme="minorEastAsia" w:hAnsiTheme="minorEastAsia"/>
          <w:b/>
          <w:sz w:val="21"/>
          <w:szCs w:val="21"/>
        </w:rPr>
        <w:t>授权，任何机构和个人不得以任何形式翻版、复印和发布。本报告的信息均来源于公开资料，</w:t>
      </w:r>
      <w:r w:rsidRPr="00B0577D">
        <w:rPr>
          <w:rFonts w:asciiTheme="minorEastAsia" w:hAnsiTheme="minorEastAsia" w:hint="eastAsia"/>
          <w:b/>
          <w:sz w:val="21"/>
          <w:szCs w:val="21"/>
        </w:rPr>
        <w:t>本</w:t>
      </w:r>
      <w:r w:rsidRPr="00B0577D">
        <w:rPr>
          <w:rFonts w:asciiTheme="minorEastAsia" w:hAnsiTheme="minorEastAsia"/>
          <w:b/>
          <w:sz w:val="21"/>
          <w:szCs w:val="21"/>
        </w:rPr>
        <w:t>公司对这些信息的准确性及完整性不作任何保证。因使用本报告或其内容而导致的任何直接或间接损失，</w:t>
      </w:r>
      <w:r w:rsidRPr="00B0577D">
        <w:rPr>
          <w:rFonts w:asciiTheme="minorEastAsia" w:hAnsiTheme="minorEastAsia" w:hint="eastAsia"/>
          <w:b/>
          <w:sz w:val="21"/>
          <w:szCs w:val="21"/>
        </w:rPr>
        <w:t>本</w:t>
      </w:r>
      <w:r w:rsidRPr="00B0577D">
        <w:rPr>
          <w:rFonts w:asciiTheme="minorEastAsia" w:hAnsiTheme="minorEastAsia"/>
          <w:b/>
          <w:sz w:val="21"/>
          <w:szCs w:val="21"/>
        </w:rPr>
        <w:t>公司不承担任何责任。</w:t>
      </w:r>
    </w:p>
    <w:sectPr w:rsidR="00B92AA0" w:rsidRPr="00887111" w:rsidSect="007B0EEF">
      <w:headerReference w:type="default" r:id="rId8"/>
      <w:footerReference w:type="default" r:id="rId9"/>
      <w:pgSz w:w="11906" w:h="16838"/>
      <w:pgMar w:top="1440" w:right="1800" w:bottom="1440" w:left="1800" w:header="850"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DF" w:rsidRDefault="00AF5ADF" w:rsidP="008F1B65">
      <w:r>
        <w:separator/>
      </w:r>
    </w:p>
  </w:endnote>
  <w:endnote w:type="continuationSeparator" w:id="0">
    <w:p w:rsidR="00AF5ADF" w:rsidRDefault="00AF5ADF" w:rsidP="008F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17" w:rsidRDefault="002F4817" w:rsidP="002F481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3D37E3FE" wp14:editId="24325460">
              <wp:simplePos x="0" y="0"/>
              <wp:positionH relativeFrom="page">
                <wp:posOffset>1168400</wp:posOffset>
              </wp:positionH>
              <wp:positionV relativeFrom="page">
                <wp:posOffset>10156825</wp:posOffset>
              </wp:positionV>
              <wp:extent cx="1511300" cy="1397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511300" cy="139700"/>
                      </a:xfrm>
                      <a:prstGeom prst="rect">
                        <a:avLst/>
                      </a:prstGeom>
                      <a:noFill/>
                      <a:ln w="9525">
                        <a:noFill/>
                      </a:ln>
                    </wps:spPr>
                    <wps:txbx>
                      <w:txbxContent>
                        <w:p w:rsidR="002F4817" w:rsidRDefault="002F4817" w:rsidP="002F4817">
                          <w:pPr>
                            <w:spacing w:line="209" w:lineRule="exact"/>
                            <w:ind w:left="2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敬请阅读报告结尾处免责声明</w:t>
                          </w:r>
                        </w:p>
                      </w:txbxContent>
                    </wps:txbx>
                    <wps:bodyPr lIns="0" tIns="0" rIns="0" bIns="0" upright="1"/>
                  </wps:wsp>
                </a:graphicData>
              </a:graphic>
            </wp:anchor>
          </w:drawing>
        </mc:Choice>
        <mc:Fallback>
          <w:pict>
            <v:shapetype w14:anchorId="3D37E3FE" id="_x0000_t202" coordsize="21600,21600" o:spt="202" path="m,l,21600r21600,l21600,xe">
              <v:stroke joinstyle="miter"/>
              <v:path gradientshapeok="t" o:connecttype="rect"/>
            </v:shapetype>
            <v:shape id="文本框 1" o:spid="_x0000_s1028" type="#_x0000_t202" style="position:absolute;margin-left:92pt;margin-top:799.75pt;width:119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" filled="f" stroked="f">
              <v:textbox inset="0,0,0,0">
                <w:txbxContent>
                  <w:p w:rsidR="002F4817" w:rsidRDefault="002F4817" w:rsidP="002F4817">
                    <w:pPr>
                      <w:spacing w:line="209" w:lineRule="exact"/>
                      <w:ind w:left="2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敬请阅读报告结尾处免责声明</w:t>
                    </w:r>
                  </w:p>
                </w:txbxContent>
              </v:textbox>
              <w10:wrap anchorx="page" anchory="page"/>
            </v:shape>
          </w:pict>
        </mc:Fallback>
      </mc:AlternateContent>
    </w:r>
  </w:p>
  <w:p w:rsidR="009A69FA" w:rsidRDefault="009A69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DF" w:rsidRDefault="00AF5ADF" w:rsidP="008F1B65">
      <w:r>
        <w:separator/>
      </w:r>
    </w:p>
  </w:footnote>
  <w:footnote w:type="continuationSeparator" w:id="0">
    <w:p w:rsidR="00AF5ADF" w:rsidRDefault="00AF5ADF" w:rsidP="008F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65" w:rsidRPr="00DC75CD" w:rsidRDefault="007B0EEF" w:rsidP="007B0EEF">
    <w:pPr>
      <w:pStyle w:val="a3"/>
      <w:pBdr>
        <w:bottom w:val="single" w:sz="6" w:space="18" w:color="auto"/>
      </w:pBdr>
      <w:ind w:firstLineChars="100" w:firstLine="280"/>
      <w:jc w:val="left"/>
      <w:rPr>
        <w:rFonts w:asciiTheme="minorEastAsia" w:hAnsiTheme="minorEastAsia"/>
        <w:sz w:val="28"/>
        <w:szCs w:val="28"/>
      </w:rPr>
    </w:pPr>
    <w:r w:rsidRPr="00DC75CD">
      <w:rPr>
        <w:rFonts w:asciiTheme="minorEastAsia" w:hAnsiTheme="minorEastAsia"/>
        <w:noProof/>
        <w:sz w:val="28"/>
        <w:szCs w:val="28"/>
      </w:rPr>
      <w:drawing>
        <wp:anchor distT="0" distB="0" distL="114300" distR="114300" simplePos="0" relativeHeight="251663360" behindDoc="0" locked="0" layoutInCell="1" allowOverlap="1" wp14:anchorId="381DD736" wp14:editId="6BD5F527">
          <wp:simplePos x="0" y="0"/>
          <wp:positionH relativeFrom="column">
            <wp:posOffset>4133850</wp:posOffset>
          </wp:positionH>
          <wp:positionV relativeFrom="paragraph">
            <wp:posOffset>-47625</wp:posOffset>
          </wp:positionV>
          <wp:extent cx="1016000" cy="40830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6000" cy="408305"/>
                  </a:xfrm>
                  <a:prstGeom prst="rect">
                    <a:avLst/>
                  </a:prstGeom>
                </pic:spPr>
              </pic:pic>
            </a:graphicData>
          </a:graphic>
        </wp:anchor>
      </w:drawing>
    </w:r>
    <w:r w:rsidRPr="00DC75CD">
      <w:rPr>
        <w:rFonts w:asciiTheme="minorEastAsia" w:hAnsiTheme="minorEastAsia" w:hint="eastAsia"/>
        <w:sz w:val="28"/>
        <w:szCs w:val="28"/>
      </w:rPr>
      <w:t>投资</w:t>
    </w:r>
    <w:r w:rsidRPr="00DC75CD">
      <w:rPr>
        <w:rFonts w:asciiTheme="minorEastAsia" w:hAnsiTheme="minorEastAsia"/>
        <w:sz w:val="28"/>
        <w:szCs w:val="28"/>
      </w:rPr>
      <w:t>策略月度报告（</w:t>
    </w:r>
    <w:r w:rsidR="00E46DA1" w:rsidRPr="00DC75CD">
      <w:rPr>
        <w:rFonts w:asciiTheme="minorEastAsia" w:hAnsiTheme="minorEastAsia" w:hint="eastAsia"/>
        <w:sz w:val="28"/>
        <w:szCs w:val="28"/>
      </w:rPr>
      <w:t>2019年</w:t>
    </w:r>
    <w:r w:rsidR="00AA659F">
      <w:rPr>
        <w:rFonts w:asciiTheme="minorEastAsia" w:hAnsiTheme="minorEastAsia"/>
        <w:sz w:val="28"/>
        <w:szCs w:val="28"/>
      </w:rPr>
      <w:t>6</w:t>
    </w:r>
    <w:r w:rsidRPr="00DC75CD">
      <w:rPr>
        <w:rFonts w:asciiTheme="minorEastAsia" w:hAnsiTheme="minorEastAsia" w:hint="eastAsia"/>
        <w:sz w:val="28"/>
        <w:szCs w:val="28"/>
      </w:rPr>
      <w:t>月</w:t>
    </w:r>
    <w:r w:rsidR="000844E9">
      <w:rPr>
        <w:rFonts w:asciiTheme="minorEastAsia" w:hAnsiTheme="minorEastAsia"/>
        <w:sz w:val="28"/>
        <w:szCs w:val="28"/>
      </w:rPr>
      <w:t>28</w:t>
    </w:r>
    <w:r w:rsidRPr="00DC75CD">
      <w:rPr>
        <w:rFonts w:asciiTheme="minorEastAsia" w:hAnsiTheme="minorEastAsia" w:hint="eastAsia"/>
        <w:sz w:val="28"/>
        <w:szCs w:val="28"/>
      </w:rPr>
      <w:t>日</w:t>
    </w:r>
    <w:r w:rsidRPr="00DC75CD">
      <w:rPr>
        <w:rFonts w:asciiTheme="minorEastAsia" w:hAnsiTheme="minorEastAsia"/>
        <w:sz w:val="28"/>
        <w:szCs w:val="28"/>
      </w:rPr>
      <w:t>）</w:t>
    </w:r>
    <w:r w:rsidRPr="00DC75CD">
      <w:rPr>
        <w:rFonts w:asciiTheme="minorEastAsia" w:hAnsiTheme="minorEastAsia" w:hint="eastAsi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6A75"/>
    <w:multiLevelType w:val="hybridMultilevel"/>
    <w:tmpl w:val="EEF4A626"/>
    <w:lvl w:ilvl="0" w:tplc="0054E1FA">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7994679C"/>
    <w:multiLevelType w:val="multilevel"/>
    <w:tmpl w:val="7994679C"/>
    <w:lvl w:ilvl="0">
      <w:start w:val="1"/>
      <w:numFmt w:val="decimal"/>
      <w:lvlText w:val="%1、"/>
      <w:lvlJc w:val="left"/>
      <w:pPr>
        <w:ind w:left="780" w:hanging="360"/>
      </w:pPr>
      <w:rPr>
        <w:rFonts w:eastAsiaTheme="minorEastAsia" w:cstheme="minorBidi"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87"/>
    <w:rsid w:val="00003683"/>
    <w:rsid w:val="0000766D"/>
    <w:rsid w:val="00011B94"/>
    <w:rsid w:val="0001291D"/>
    <w:rsid w:val="0001328A"/>
    <w:rsid w:val="00027154"/>
    <w:rsid w:val="00040038"/>
    <w:rsid w:val="00043201"/>
    <w:rsid w:val="000462C1"/>
    <w:rsid w:val="0004670D"/>
    <w:rsid w:val="00051382"/>
    <w:rsid w:val="00057257"/>
    <w:rsid w:val="0005741C"/>
    <w:rsid w:val="000656F6"/>
    <w:rsid w:val="00074475"/>
    <w:rsid w:val="00075964"/>
    <w:rsid w:val="00083E7B"/>
    <w:rsid w:val="000844E9"/>
    <w:rsid w:val="000A721E"/>
    <w:rsid w:val="000B222B"/>
    <w:rsid w:val="000B545F"/>
    <w:rsid w:val="000B5E34"/>
    <w:rsid w:val="000B6672"/>
    <w:rsid w:val="000C2F40"/>
    <w:rsid w:val="000C4B8B"/>
    <w:rsid w:val="000C50FC"/>
    <w:rsid w:val="000D0C9F"/>
    <w:rsid w:val="000D408F"/>
    <w:rsid w:val="000D4D99"/>
    <w:rsid w:val="000E125B"/>
    <w:rsid w:val="000E3204"/>
    <w:rsid w:val="000F1602"/>
    <w:rsid w:val="000F390D"/>
    <w:rsid w:val="000F7CE8"/>
    <w:rsid w:val="00101209"/>
    <w:rsid w:val="00106257"/>
    <w:rsid w:val="001070D0"/>
    <w:rsid w:val="00115821"/>
    <w:rsid w:val="0012144B"/>
    <w:rsid w:val="00123BE8"/>
    <w:rsid w:val="00125393"/>
    <w:rsid w:val="00127A42"/>
    <w:rsid w:val="00137018"/>
    <w:rsid w:val="00150F9A"/>
    <w:rsid w:val="001561CE"/>
    <w:rsid w:val="00157F23"/>
    <w:rsid w:val="00160159"/>
    <w:rsid w:val="00160522"/>
    <w:rsid w:val="001618CC"/>
    <w:rsid w:val="00174B5A"/>
    <w:rsid w:val="001755EB"/>
    <w:rsid w:val="001800C2"/>
    <w:rsid w:val="001911C0"/>
    <w:rsid w:val="00193B1B"/>
    <w:rsid w:val="001953B3"/>
    <w:rsid w:val="001A1A4F"/>
    <w:rsid w:val="001A4497"/>
    <w:rsid w:val="001A5901"/>
    <w:rsid w:val="001B3144"/>
    <w:rsid w:val="001B5E34"/>
    <w:rsid w:val="001C0416"/>
    <w:rsid w:val="001C0853"/>
    <w:rsid w:val="001C38FA"/>
    <w:rsid w:val="001C4385"/>
    <w:rsid w:val="001C4942"/>
    <w:rsid w:val="001C60BD"/>
    <w:rsid w:val="001C77A4"/>
    <w:rsid w:val="001D0547"/>
    <w:rsid w:val="001D29EA"/>
    <w:rsid w:val="001E00AB"/>
    <w:rsid w:val="001E0FC6"/>
    <w:rsid w:val="001F6F25"/>
    <w:rsid w:val="00200F17"/>
    <w:rsid w:val="00202F6D"/>
    <w:rsid w:val="00204EEB"/>
    <w:rsid w:val="002058B5"/>
    <w:rsid w:val="00212CA5"/>
    <w:rsid w:val="002148A7"/>
    <w:rsid w:val="0022260D"/>
    <w:rsid w:val="00227417"/>
    <w:rsid w:val="00227A71"/>
    <w:rsid w:val="0023071D"/>
    <w:rsid w:val="002336FD"/>
    <w:rsid w:val="00235300"/>
    <w:rsid w:val="00251BEF"/>
    <w:rsid w:val="00257854"/>
    <w:rsid w:val="0026089C"/>
    <w:rsid w:val="0027311D"/>
    <w:rsid w:val="00277BA4"/>
    <w:rsid w:val="00283C3D"/>
    <w:rsid w:val="00287C8E"/>
    <w:rsid w:val="00296D87"/>
    <w:rsid w:val="002A35B9"/>
    <w:rsid w:val="002A44B8"/>
    <w:rsid w:val="002A5DDD"/>
    <w:rsid w:val="002A7B15"/>
    <w:rsid w:val="002B01DC"/>
    <w:rsid w:val="002B0A8C"/>
    <w:rsid w:val="002B41E9"/>
    <w:rsid w:val="002C702B"/>
    <w:rsid w:val="002C7CDB"/>
    <w:rsid w:val="002D2DCB"/>
    <w:rsid w:val="002D618B"/>
    <w:rsid w:val="002D64F6"/>
    <w:rsid w:val="002D7B59"/>
    <w:rsid w:val="002E0B03"/>
    <w:rsid w:val="002E4F0D"/>
    <w:rsid w:val="002F3A1E"/>
    <w:rsid w:val="002F4817"/>
    <w:rsid w:val="00300CA1"/>
    <w:rsid w:val="00301018"/>
    <w:rsid w:val="003019F1"/>
    <w:rsid w:val="00306AEE"/>
    <w:rsid w:val="003110A4"/>
    <w:rsid w:val="003124AA"/>
    <w:rsid w:val="0032227E"/>
    <w:rsid w:val="003232D7"/>
    <w:rsid w:val="00325073"/>
    <w:rsid w:val="0033128F"/>
    <w:rsid w:val="00343637"/>
    <w:rsid w:val="0034630F"/>
    <w:rsid w:val="003516B7"/>
    <w:rsid w:val="00351D54"/>
    <w:rsid w:val="00351E4B"/>
    <w:rsid w:val="00353FD0"/>
    <w:rsid w:val="00357BE4"/>
    <w:rsid w:val="003616DC"/>
    <w:rsid w:val="00364A97"/>
    <w:rsid w:val="00367B9C"/>
    <w:rsid w:val="0037124B"/>
    <w:rsid w:val="0037228D"/>
    <w:rsid w:val="0038164B"/>
    <w:rsid w:val="00382FFB"/>
    <w:rsid w:val="00383F2C"/>
    <w:rsid w:val="0038645C"/>
    <w:rsid w:val="00387BF7"/>
    <w:rsid w:val="0039427A"/>
    <w:rsid w:val="003A3FA1"/>
    <w:rsid w:val="003B1E98"/>
    <w:rsid w:val="003B546E"/>
    <w:rsid w:val="003B7AD4"/>
    <w:rsid w:val="003B7BAA"/>
    <w:rsid w:val="003C30BE"/>
    <w:rsid w:val="003D33AF"/>
    <w:rsid w:val="003D36A0"/>
    <w:rsid w:val="003D4E4D"/>
    <w:rsid w:val="003D6DE2"/>
    <w:rsid w:val="003D7A63"/>
    <w:rsid w:val="003E6539"/>
    <w:rsid w:val="00401AA3"/>
    <w:rsid w:val="00403230"/>
    <w:rsid w:val="004039E5"/>
    <w:rsid w:val="004067A3"/>
    <w:rsid w:val="0041313F"/>
    <w:rsid w:val="00422522"/>
    <w:rsid w:val="0042648B"/>
    <w:rsid w:val="00436102"/>
    <w:rsid w:val="00436885"/>
    <w:rsid w:val="00437684"/>
    <w:rsid w:val="00444F1C"/>
    <w:rsid w:val="004524E7"/>
    <w:rsid w:val="00452CA9"/>
    <w:rsid w:val="004552DB"/>
    <w:rsid w:val="00460C96"/>
    <w:rsid w:val="0046432C"/>
    <w:rsid w:val="004645FF"/>
    <w:rsid w:val="00466259"/>
    <w:rsid w:val="00474D5A"/>
    <w:rsid w:val="004806D8"/>
    <w:rsid w:val="00482495"/>
    <w:rsid w:val="004837CE"/>
    <w:rsid w:val="00484DB1"/>
    <w:rsid w:val="00486586"/>
    <w:rsid w:val="00490454"/>
    <w:rsid w:val="004914A5"/>
    <w:rsid w:val="00491B24"/>
    <w:rsid w:val="004931BC"/>
    <w:rsid w:val="004947F6"/>
    <w:rsid w:val="004B0091"/>
    <w:rsid w:val="004B6865"/>
    <w:rsid w:val="004B6F95"/>
    <w:rsid w:val="004C1AE0"/>
    <w:rsid w:val="004C41BB"/>
    <w:rsid w:val="004D30C0"/>
    <w:rsid w:val="004D3485"/>
    <w:rsid w:val="004E0ACD"/>
    <w:rsid w:val="004E154D"/>
    <w:rsid w:val="004E46F0"/>
    <w:rsid w:val="004E4A13"/>
    <w:rsid w:val="004E6296"/>
    <w:rsid w:val="004E63CF"/>
    <w:rsid w:val="004E7142"/>
    <w:rsid w:val="004F5C25"/>
    <w:rsid w:val="00502329"/>
    <w:rsid w:val="00531A30"/>
    <w:rsid w:val="00537085"/>
    <w:rsid w:val="005372DC"/>
    <w:rsid w:val="00540EA6"/>
    <w:rsid w:val="00541AF8"/>
    <w:rsid w:val="00546AEE"/>
    <w:rsid w:val="0055614C"/>
    <w:rsid w:val="0056226D"/>
    <w:rsid w:val="0056261D"/>
    <w:rsid w:val="005658B8"/>
    <w:rsid w:val="00566FCA"/>
    <w:rsid w:val="005671C7"/>
    <w:rsid w:val="0057665C"/>
    <w:rsid w:val="00580C10"/>
    <w:rsid w:val="00580F73"/>
    <w:rsid w:val="00583C5D"/>
    <w:rsid w:val="005849F1"/>
    <w:rsid w:val="0059064F"/>
    <w:rsid w:val="00595815"/>
    <w:rsid w:val="0059650F"/>
    <w:rsid w:val="00596B12"/>
    <w:rsid w:val="005A1E12"/>
    <w:rsid w:val="005B007A"/>
    <w:rsid w:val="005B0913"/>
    <w:rsid w:val="005B28D8"/>
    <w:rsid w:val="005C13EC"/>
    <w:rsid w:val="005C23C4"/>
    <w:rsid w:val="005C44F1"/>
    <w:rsid w:val="005C6B7B"/>
    <w:rsid w:val="005D0152"/>
    <w:rsid w:val="005D0C18"/>
    <w:rsid w:val="005D1F80"/>
    <w:rsid w:val="005D28E3"/>
    <w:rsid w:val="005D7CB7"/>
    <w:rsid w:val="005E186E"/>
    <w:rsid w:val="005E4D0C"/>
    <w:rsid w:val="005E7B96"/>
    <w:rsid w:val="005F4415"/>
    <w:rsid w:val="005F5650"/>
    <w:rsid w:val="0060253C"/>
    <w:rsid w:val="0060272A"/>
    <w:rsid w:val="00606684"/>
    <w:rsid w:val="006070C4"/>
    <w:rsid w:val="006133F3"/>
    <w:rsid w:val="00613C66"/>
    <w:rsid w:val="00620222"/>
    <w:rsid w:val="00620D36"/>
    <w:rsid w:val="006210F2"/>
    <w:rsid w:val="00625C4F"/>
    <w:rsid w:val="00627957"/>
    <w:rsid w:val="00630748"/>
    <w:rsid w:val="0063698A"/>
    <w:rsid w:val="006409E0"/>
    <w:rsid w:val="00641B58"/>
    <w:rsid w:val="006513CF"/>
    <w:rsid w:val="006544B1"/>
    <w:rsid w:val="00655749"/>
    <w:rsid w:val="0065759B"/>
    <w:rsid w:val="00663E4C"/>
    <w:rsid w:val="006647EE"/>
    <w:rsid w:val="00666864"/>
    <w:rsid w:val="00670E87"/>
    <w:rsid w:val="00671993"/>
    <w:rsid w:val="00674A05"/>
    <w:rsid w:val="006757AC"/>
    <w:rsid w:val="00677FF7"/>
    <w:rsid w:val="0068347D"/>
    <w:rsid w:val="00683ED1"/>
    <w:rsid w:val="006845AB"/>
    <w:rsid w:val="00685650"/>
    <w:rsid w:val="0068696C"/>
    <w:rsid w:val="006913EA"/>
    <w:rsid w:val="006949AF"/>
    <w:rsid w:val="006A0989"/>
    <w:rsid w:val="006B2627"/>
    <w:rsid w:val="006B56DC"/>
    <w:rsid w:val="006B5DEB"/>
    <w:rsid w:val="006C1FC8"/>
    <w:rsid w:val="006D124B"/>
    <w:rsid w:val="006D3971"/>
    <w:rsid w:val="006D5323"/>
    <w:rsid w:val="006E1E05"/>
    <w:rsid w:val="006E4647"/>
    <w:rsid w:val="006F19BB"/>
    <w:rsid w:val="006F1ABD"/>
    <w:rsid w:val="006F2532"/>
    <w:rsid w:val="007011C9"/>
    <w:rsid w:val="0071452F"/>
    <w:rsid w:val="00717F15"/>
    <w:rsid w:val="007205F3"/>
    <w:rsid w:val="00731FD4"/>
    <w:rsid w:val="00733988"/>
    <w:rsid w:val="00734CC6"/>
    <w:rsid w:val="00734DF3"/>
    <w:rsid w:val="00736DFE"/>
    <w:rsid w:val="007431BB"/>
    <w:rsid w:val="0074382B"/>
    <w:rsid w:val="007470AF"/>
    <w:rsid w:val="007479AF"/>
    <w:rsid w:val="00750655"/>
    <w:rsid w:val="00752468"/>
    <w:rsid w:val="007614AD"/>
    <w:rsid w:val="007671D1"/>
    <w:rsid w:val="00771093"/>
    <w:rsid w:val="00772E65"/>
    <w:rsid w:val="007805B3"/>
    <w:rsid w:val="00780699"/>
    <w:rsid w:val="00782B09"/>
    <w:rsid w:val="00786FB4"/>
    <w:rsid w:val="007870FA"/>
    <w:rsid w:val="007942A5"/>
    <w:rsid w:val="007951E9"/>
    <w:rsid w:val="00797BDE"/>
    <w:rsid w:val="007A0868"/>
    <w:rsid w:val="007A24D7"/>
    <w:rsid w:val="007B0EEF"/>
    <w:rsid w:val="007B13AF"/>
    <w:rsid w:val="007B1D6D"/>
    <w:rsid w:val="007B4942"/>
    <w:rsid w:val="007B518C"/>
    <w:rsid w:val="007C0CA9"/>
    <w:rsid w:val="007C40B1"/>
    <w:rsid w:val="007C448E"/>
    <w:rsid w:val="007C44F6"/>
    <w:rsid w:val="007C7D7E"/>
    <w:rsid w:val="007D383B"/>
    <w:rsid w:val="007D7472"/>
    <w:rsid w:val="007F2321"/>
    <w:rsid w:val="007F3D8D"/>
    <w:rsid w:val="008049E0"/>
    <w:rsid w:val="008079A0"/>
    <w:rsid w:val="00811DFA"/>
    <w:rsid w:val="00821ED7"/>
    <w:rsid w:val="00823836"/>
    <w:rsid w:val="00823E87"/>
    <w:rsid w:val="008278D6"/>
    <w:rsid w:val="00831B4E"/>
    <w:rsid w:val="008378B4"/>
    <w:rsid w:val="008463FF"/>
    <w:rsid w:val="00853EC6"/>
    <w:rsid w:val="00865315"/>
    <w:rsid w:val="00865FDA"/>
    <w:rsid w:val="00873BF8"/>
    <w:rsid w:val="00876C14"/>
    <w:rsid w:val="00886F30"/>
    <w:rsid w:val="00887111"/>
    <w:rsid w:val="00890DDC"/>
    <w:rsid w:val="008931DE"/>
    <w:rsid w:val="0089396C"/>
    <w:rsid w:val="0089399A"/>
    <w:rsid w:val="008943B7"/>
    <w:rsid w:val="008A3ACB"/>
    <w:rsid w:val="008B0938"/>
    <w:rsid w:val="008B4CD1"/>
    <w:rsid w:val="008B5F47"/>
    <w:rsid w:val="008B674F"/>
    <w:rsid w:val="008C0293"/>
    <w:rsid w:val="008C44AF"/>
    <w:rsid w:val="008C5E2D"/>
    <w:rsid w:val="008C6C4A"/>
    <w:rsid w:val="008E17CA"/>
    <w:rsid w:val="008E1E21"/>
    <w:rsid w:val="008E74B6"/>
    <w:rsid w:val="008F1B65"/>
    <w:rsid w:val="008F74A5"/>
    <w:rsid w:val="008F7F46"/>
    <w:rsid w:val="00900865"/>
    <w:rsid w:val="009022F5"/>
    <w:rsid w:val="00903FEB"/>
    <w:rsid w:val="00907124"/>
    <w:rsid w:val="00907D79"/>
    <w:rsid w:val="00917841"/>
    <w:rsid w:val="00920806"/>
    <w:rsid w:val="009230B8"/>
    <w:rsid w:val="00930D38"/>
    <w:rsid w:val="009321A3"/>
    <w:rsid w:val="009322EE"/>
    <w:rsid w:val="00932356"/>
    <w:rsid w:val="00932F32"/>
    <w:rsid w:val="00935E44"/>
    <w:rsid w:val="009438E2"/>
    <w:rsid w:val="00945834"/>
    <w:rsid w:val="00945CD0"/>
    <w:rsid w:val="0095067D"/>
    <w:rsid w:val="00950DDF"/>
    <w:rsid w:val="00951738"/>
    <w:rsid w:val="009562BC"/>
    <w:rsid w:val="00964EF4"/>
    <w:rsid w:val="00965104"/>
    <w:rsid w:val="0096706B"/>
    <w:rsid w:val="0097108D"/>
    <w:rsid w:val="00973702"/>
    <w:rsid w:val="00976374"/>
    <w:rsid w:val="0098241D"/>
    <w:rsid w:val="00983F7E"/>
    <w:rsid w:val="0098626B"/>
    <w:rsid w:val="00987003"/>
    <w:rsid w:val="00994663"/>
    <w:rsid w:val="00995D63"/>
    <w:rsid w:val="009A1885"/>
    <w:rsid w:val="009A2251"/>
    <w:rsid w:val="009A69FA"/>
    <w:rsid w:val="009A7315"/>
    <w:rsid w:val="009A7425"/>
    <w:rsid w:val="009B095A"/>
    <w:rsid w:val="009B401D"/>
    <w:rsid w:val="009B4173"/>
    <w:rsid w:val="009B4B4A"/>
    <w:rsid w:val="009B6ABC"/>
    <w:rsid w:val="009C04F4"/>
    <w:rsid w:val="009D2151"/>
    <w:rsid w:val="009D2408"/>
    <w:rsid w:val="009D798E"/>
    <w:rsid w:val="009E0000"/>
    <w:rsid w:val="009E0DC2"/>
    <w:rsid w:val="009E3F0A"/>
    <w:rsid w:val="009E4F60"/>
    <w:rsid w:val="009E5C53"/>
    <w:rsid w:val="009E7205"/>
    <w:rsid w:val="009F0C37"/>
    <w:rsid w:val="009F2BEC"/>
    <w:rsid w:val="009F3BA1"/>
    <w:rsid w:val="009F4F3C"/>
    <w:rsid w:val="00A03D4A"/>
    <w:rsid w:val="00A1047D"/>
    <w:rsid w:val="00A110DD"/>
    <w:rsid w:val="00A11383"/>
    <w:rsid w:val="00A42377"/>
    <w:rsid w:val="00A5092E"/>
    <w:rsid w:val="00A54FC9"/>
    <w:rsid w:val="00A57598"/>
    <w:rsid w:val="00A60F0E"/>
    <w:rsid w:val="00A65485"/>
    <w:rsid w:val="00A67B21"/>
    <w:rsid w:val="00A71A12"/>
    <w:rsid w:val="00A71B14"/>
    <w:rsid w:val="00A74481"/>
    <w:rsid w:val="00A74EB4"/>
    <w:rsid w:val="00A808EF"/>
    <w:rsid w:val="00A831D6"/>
    <w:rsid w:val="00A857C5"/>
    <w:rsid w:val="00A86CA9"/>
    <w:rsid w:val="00A91702"/>
    <w:rsid w:val="00A91790"/>
    <w:rsid w:val="00A93106"/>
    <w:rsid w:val="00A97B4D"/>
    <w:rsid w:val="00AA3810"/>
    <w:rsid w:val="00AA659F"/>
    <w:rsid w:val="00AA6F31"/>
    <w:rsid w:val="00AB29FB"/>
    <w:rsid w:val="00AB3127"/>
    <w:rsid w:val="00AB6ABF"/>
    <w:rsid w:val="00AD3855"/>
    <w:rsid w:val="00AD68DA"/>
    <w:rsid w:val="00AE2317"/>
    <w:rsid w:val="00AF0326"/>
    <w:rsid w:val="00AF4E74"/>
    <w:rsid w:val="00AF5ADF"/>
    <w:rsid w:val="00AF6644"/>
    <w:rsid w:val="00B04116"/>
    <w:rsid w:val="00B04378"/>
    <w:rsid w:val="00B0577D"/>
    <w:rsid w:val="00B130A2"/>
    <w:rsid w:val="00B166AF"/>
    <w:rsid w:val="00B20402"/>
    <w:rsid w:val="00B21298"/>
    <w:rsid w:val="00B318FA"/>
    <w:rsid w:val="00B33E2F"/>
    <w:rsid w:val="00B363C6"/>
    <w:rsid w:val="00B3678A"/>
    <w:rsid w:val="00B369C7"/>
    <w:rsid w:val="00B373D5"/>
    <w:rsid w:val="00B40E54"/>
    <w:rsid w:val="00B4542E"/>
    <w:rsid w:val="00B46A61"/>
    <w:rsid w:val="00B57313"/>
    <w:rsid w:val="00B6770D"/>
    <w:rsid w:val="00B70B03"/>
    <w:rsid w:val="00B7671B"/>
    <w:rsid w:val="00B82BB5"/>
    <w:rsid w:val="00B85F75"/>
    <w:rsid w:val="00B92AA0"/>
    <w:rsid w:val="00BA26F1"/>
    <w:rsid w:val="00BA3791"/>
    <w:rsid w:val="00BA41C7"/>
    <w:rsid w:val="00BA5566"/>
    <w:rsid w:val="00BB120F"/>
    <w:rsid w:val="00BB4293"/>
    <w:rsid w:val="00BB5C97"/>
    <w:rsid w:val="00BC013A"/>
    <w:rsid w:val="00BC2631"/>
    <w:rsid w:val="00BC3AC2"/>
    <w:rsid w:val="00BC4586"/>
    <w:rsid w:val="00BD7D00"/>
    <w:rsid w:val="00BE0390"/>
    <w:rsid w:val="00BE0BBA"/>
    <w:rsid w:val="00BE0FF6"/>
    <w:rsid w:val="00BE6A1F"/>
    <w:rsid w:val="00BE6CE3"/>
    <w:rsid w:val="00BF05E3"/>
    <w:rsid w:val="00BF60A2"/>
    <w:rsid w:val="00C00BAC"/>
    <w:rsid w:val="00C058BC"/>
    <w:rsid w:val="00C071D1"/>
    <w:rsid w:val="00C07509"/>
    <w:rsid w:val="00C14498"/>
    <w:rsid w:val="00C14A83"/>
    <w:rsid w:val="00C34886"/>
    <w:rsid w:val="00C42BC0"/>
    <w:rsid w:val="00C448B0"/>
    <w:rsid w:val="00C4630D"/>
    <w:rsid w:val="00C4708F"/>
    <w:rsid w:val="00C471AB"/>
    <w:rsid w:val="00C54D0D"/>
    <w:rsid w:val="00C54F77"/>
    <w:rsid w:val="00C55DB9"/>
    <w:rsid w:val="00C55FFC"/>
    <w:rsid w:val="00C575E0"/>
    <w:rsid w:val="00C658CD"/>
    <w:rsid w:val="00C67D2E"/>
    <w:rsid w:val="00C71C86"/>
    <w:rsid w:val="00C72B79"/>
    <w:rsid w:val="00C734D4"/>
    <w:rsid w:val="00C742D6"/>
    <w:rsid w:val="00C75B41"/>
    <w:rsid w:val="00C76B12"/>
    <w:rsid w:val="00C81D4E"/>
    <w:rsid w:val="00C85409"/>
    <w:rsid w:val="00C878DB"/>
    <w:rsid w:val="00C92FEB"/>
    <w:rsid w:val="00C93A6A"/>
    <w:rsid w:val="00CA0F28"/>
    <w:rsid w:val="00CA2BFC"/>
    <w:rsid w:val="00CA4609"/>
    <w:rsid w:val="00CA4DE3"/>
    <w:rsid w:val="00CA681A"/>
    <w:rsid w:val="00CA78E5"/>
    <w:rsid w:val="00CB2F02"/>
    <w:rsid w:val="00CB44A6"/>
    <w:rsid w:val="00CC29AE"/>
    <w:rsid w:val="00CC3240"/>
    <w:rsid w:val="00CC49AC"/>
    <w:rsid w:val="00CC7DCE"/>
    <w:rsid w:val="00CD4084"/>
    <w:rsid w:val="00CD5676"/>
    <w:rsid w:val="00CD76A3"/>
    <w:rsid w:val="00CE0926"/>
    <w:rsid w:val="00CE0CC5"/>
    <w:rsid w:val="00CE0D84"/>
    <w:rsid w:val="00CE421C"/>
    <w:rsid w:val="00CE4B9E"/>
    <w:rsid w:val="00CF01F2"/>
    <w:rsid w:val="00CF1803"/>
    <w:rsid w:val="00CF1CB8"/>
    <w:rsid w:val="00CF66D4"/>
    <w:rsid w:val="00D0269F"/>
    <w:rsid w:val="00D03654"/>
    <w:rsid w:val="00D06543"/>
    <w:rsid w:val="00D06ACC"/>
    <w:rsid w:val="00D12199"/>
    <w:rsid w:val="00D12E4B"/>
    <w:rsid w:val="00D2106C"/>
    <w:rsid w:val="00D21496"/>
    <w:rsid w:val="00D229EE"/>
    <w:rsid w:val="00D234FC"/>
    <w:rsid w:val="00D259CA"/>
    <w:rsid w:val="00D27F65"/>
    <w:rsid w:val="00D31AE9"/>
    <w:rsid w:val="00D32827"/>
    <w:rsid w:val="00D35F2E"/>
    <w:rsid w:val="00D41577"/>
    <w:rsid w:val="00D45C90"/>
    <w:rsid w:val="00D47990"/>
    <w:rsid w:val="00D51AC7"/>
    <w:rsid w:val="00D51D4E"/>
    <w:rsid w:val="00D57695"/>
    <w:rsid w:val="00D708B7"/>
    <w:rsid w:val="00D72F28"/>
    <w:rsid w:val="00D73FC5"/>
    <w:rsid w:val="00D8315C"/>
    <w:rsid w:val="00D8479A"/>
    <w:rsid w:val="00D8486C"/>
    <w:rsid w:val="00D91019"/>
    <w:rsid w:val="00D931D2"/>
    <w:rsid w:val="00D9356C"/>
    <w:rsid w:val="00D94A3B"/>
    <w:rsid w:val="00DA584C"/>
    <w:rsid w:val="00DA59B8"/>
    <w:rsid w:val="00DA5BC7"/>
    <w:rsid w:val="00DA74F3"/>
    <w:rsid w:val="00DB3395"/>
    <w:rsid w:val="00DB4DAD"/>
    <w:rsid w:val="00DC3853"/>
    <w:rsid w:val="00DC6834"/>
    <w:rsid w:val="00DC75CD"/>
    <w:rsid w:val="00DE185A"/>
    <w:rsid w:val="00DE5854"/>
    <w:rsid w:val="00DF4C05"/>
    <w:rsid w:val="00DF5843"/>
    <w:rsid w:val="00E1319F"/>
    <w:rsid w:val="00E132AF"/>
    <w:rsid w:val="00E141B1"/>
    <w:rsid w:val="00E22E33"/>
    <w:rsid w:val="00E2788D"/>
    <w:rsid w:val="00E360F1"/>
    <w:rsid w:val="00E46DA1"/>
    <w:rsid w:val="00E61ECD"/>
    <w:rsid w:val="00E74E2B"/>
    <w:rsid w:val="00E80F07"/>
    <w:rsid w:val="00E849D8"/>
    <w:rsid w:val="00E857F2"/>
    <w:rsid w:val="00E9519E"/>
    <w:rsid w:val="00E95C44"/>
    <w:rsid w:val="00E95DB3"/>
    <w:rsid w:val="00E95E4F"/>
    <w:rsid w:val="00E9634A"/>
    <w:rsid w:val="00EA118D"/>
    <w:rsid w:val="00EA4809"/>
    <w:rsid w:val="00EA483B"/>
    <w:rsid w:val="00EA564E"/>
    <w:rsid w:val="00EA7EAB"/>
    <w:rsid w:val="00EB346C"/>
    <w:rsid w:val="00EB5AC0"/>
    <w:rsid w:val="00EC27F9"/>
    <w:rsid w:val="00EC51C3"/>
    <w:rsid w:val="00EC5987"/>
    <w:rsid w:val="00ED2674"/>
    <w:rsid w:val="00ED2EC5"/>
    <w:rsid w:val="00ED3583"/>
    <w:rsid w:val="00ED63BA"/>
    <w:rsid w:val="00ED7E89"/>
    <w:rsid w:val="00EE1EBD"/>
    <w:rsid w:val="00F03F95"/>
    <w:rsid w:val="00F14997"/>
    <w:rsid w:val="00F17BAA"/>
    <w:rsid w:val="00F21035"/>
    <w:rsid w:val="00F22E8D"/>
    <w:rsid w:val="00F2535A"/>
    <w:rsid w:val="00F25779"/>
    <w:rsid w:val="00F2621F"/>
    <w:rsid w:val="00F37731"/>
    <w:rsid w:val="00F439CE"/>
    <w:rsid w:val="00F45518"/>
    <w:rsid w:val="00F5017D"/>
    <w:rsid w:val="00F50792"/>
    <w:rsid w:val="00F541FF"/>
    <w:rsid w:val="00F54771"/>
    <w:rsid w:val="00F57489"/>
    <w:rsid w:val="00F57E62"/>
    <w:rsid w:val="00F64F1A"/>
    <w:rsid w:val="00F70D1E"/>
    <w:rsid w:val="00F7132E"/>
    <w:rsid w:val="00F76B94"/>
    <w:rsid w:val="00F76C3A"/>
    <w:rsid w:val="00F807EF"/>
    <w:rsid w:val="00F80A4D"/>
    <w:rsid w:val="00F80CD7"/>
    <w:rsid w:val="00F844D9"/>
    <w:rsid w:val="00F849DD"/>
    <w:rsid w:val="00F84D29"/>
    <w:rsid w:val="00F91018"/>
    <w:rsid w:val="00F94806"/>
    <w:rsid w:val="00F94C4A"/>
    <w:rsid w:val="00FA4FF8"/>
    <w:rsid w:val="00FA7C25"/>
    <w:rsid w:val="00FA7F15"/>
    <w:rsid w:val="00FB6088"/>
    <w:rsid w:val="00FC09B9"/>
    <w:rsid w:val="00FC41D8"/>
    <w:rsid w:val="00FD085A"/>
    <w:rsid w:val="00FD1A3A"/>
    <w:rsid w:val="00FD4519"/>
    <w:rsid w:val="00FD6C5D"/>
    <w:rsid w:val="00FE4E62"/>
    <w:rsid w:val="00FE7BA5"/>
    <w:rsid w:val="00FF3CB0"/>
    <w:rsid w:val="00FF79B3"/>
    <w:rsid w:val="00FF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4076C"/>
  <w15:chartTrackingRefBased/>
  <w15:docId w15:val="{0B37661F-5725-49B6-AE5B-52E9882A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9FA"/>
    <w:rPr>
      <w:sz w:val="24"/>
      <w:szCs w:val="24"/>
    </w:rPr>
  </w:style>
  <w:style w:type="paragraph" w:styleId="1">
    <w:name w:val="heading 1"/>
    <w:basedOn w:val="a"/>
    <w:next w:val="a"/>
    <w:link w:val="10"/>
    <w:uiPriority w:val="9"/>
    <w:qFormat/>
    <w:rsid w:val="009A69F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A69F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A69F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A69FA"/>
    <w:pPr>
      <w:keepNext/>
      <w:spacing w:before="240" w:after="60"/>
      <w:outlineLvl w:val="3"/>
    </w:pPr>
    <w:rPr>
      <w:b/>
      <w:bCs/>
      <w:sz w:val="28"/>
      <w:szCs w:val="28"/>
    </w:rPr>
  </w:style>
  <w:style w:type="paragraph" w:styleId="5">
    <w:name w:val="heading 5"/>
    <w:basedOn w:val="a"/>
    <w:next w:val="a"/>
    <w:link w:val="50"/>
    <w:uiPriority w:val="9"/>
    <w:semiHidden/>
    <w:unhideWhenUsed/>
    <w:qFormat/>
    <w:rsid w:val="009A69FA"/>
    <w:pPr>
      <w:spacing w:before="240" w:after="60"/>
      <w:outlineLvl w:val="4"/>
    </w:pPr>
    <w:rPr>
      <w:b/>
      <w:bCs/>
      <w:i/>
      <w:iCs/>
      <w:sz w:val="26"/>
      <w:szCs w:val="26"/>
    </w:rPr>
  </w:style>
  <w:style w:type="paragraph" w:styleId="6">
    <w:name w:val="heading 6"/>
    <w:basedOn w:val="a"/>
    <w:next w:val="a"/>
    <w:link w:val="60"/>
    <w:uiPriority w:val="9"/>
    <w:semiHidden/>
    <w:unhideWhenUsed/>
    <w:qFormat/>
    <w:rsid w:val="009A69FA"/>
    <w:pPr>
      <w:spacing w:before="240" w:after="60"/>
      <w:outlineLvl w:val="5"/>
    </w:pPr>
    <w:rPr>
      <w:b/>
      <w:bCs/>
      <w:sz w:val="22"/>
      <w:szCs w:val="22"/>
    </w:rPr>
  </w:style>
  <w:style w:type="paragraph" w:styleId="7">
    <w:name w:val="heading 7"/>
    <w:basedOn w:val="a"/>
    <w:next w:val="a"/>
    <w:link w:val="70"/>
    <w:uiPriority w:val="9"/>
    <w:semiHidden/>
    <w:unhideWhenUsed/>
    <w:qFormat/>
    <w:rsid w:val="009A69FA"/>
    <w:pPr>
      <w:spacing w:before="240" w:after="60"/>
      <w:outlineLvl w:val="6"/>
    </w:pPr>
  </w:style>
  <w:style w:type="paragraph" w:styleId="8">
    <w:name w:val="heading 8"/>
    <w:basedOn w:val="a"/>
    <w:next w:val="a"/>
    <w:link w:val="80"/>
    <w:uiPriority w:val="9"/>
    <w:semiHidden/>
    <w:unhideWhenUsed/>
    <w:qFormat/>
    <w:rsid w:val="009A69FA"/>
    <w:pPr>
      <w:spacing w:before="240" w:after="60"/>
      <w:outlineLvl w:val="7"/>
    </w:pPr>
    <w:rPr>
      <w:i/>
      <w:iCs/>
    </w:rPr>
  </w:style>
  <w:style w:type="paragraph" w:styleId="9">
    <w:name w:val="heading 9"/>
    <w:basedOn w:val="a"/>
    <w:next w:val="a"/>
    <w:link w:val="90"/>
    <w:uiPriority w:val="9"/>
    <w:semiHidden/>
    <w:unhideWhenUsed/>
    <w:qFormat/>
    <w:rsid w:val="009A69F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B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1B65"/>
    <w:rPr>
      <w:sz w:val="18"/>
      <w:szCs w:val="18"/>
    </w:rPr>
  </w:style>
  <w:style w:type="paragraph" w:styleId="a5">
    <w:name w:val="footer"/>
    <w:basedOn w:val="a"/>
    <w:link w:val="a6"/>
    <w:uiPriority w:val="99"/>
    <w:unhideWhenUsed/>
    <w:rsid w:val="008F1B65"/>
    <w:pPr>
      <w:tabs>
        <w:tab w:val="center" w:pos="4153"/>
        <w:tab w:val="right" w:pos="8306"/>
      </w:tabs>
      <w:snapToGrid w:val="0"/>
    </w:pPr>
    <w:rPr>
      <w:sz w:val="18"/>
      <w:szCs w:val="18"/>
    </w:rPr>
  </w:style>
  <w:style w:type="character" w:customStyle="1" w:styleId="a6">
    <w:name w:val="页脚 字符"/>
    <w:basedOn w:val="a0"/>
    <w:link w:val="a5"/>
    <w:uiPriority w:val="99"/>
    <w:rsid w:val="008F1B65"/>
    <w:rPr>
      <w:sz w:val="18"/>
      <w:szCs w:val="18"/>
    </w:rPr>
  </w:style>
  <w:style w:type="character" w:customStyle="1" w:styleId="10">
    <w:name w:val="标题 1 字符"/>
    <w:basedOn w:val="a0"/>
    <w:link w:val="1"/>
    <w:uiPriority w:val="9"/>
    <w:rsid w:val="009A69FA"/>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9A69FA"/>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9A69FA"/>
    <w:rPr>
      <w:rFonts w:asciiTheme="majorHAnsi" w:eastAsiaTheme="majorEastAsia" w:hAnsiTheme="majorHAnsi"/>
      <w:b/>
      <w:bCs/>
      <w:sz w:val="26"/>
      <w:szCs w:val="26"/>
    </w:rPr>
  </w:style>
  <w:style w:type="character" w:customStyle="1" w:styleId="40">
    <w:name w:val="标题 4 字符"/>
    <w:basedOn w:val="a0"/>
    <w:link w:val="4"/>
    <w:uiPriority w:val="9"/>
    <w:semiHidden/>
    <w:rsid w:val="009A69FA"/>
    <w:rPr>
      <w:b/>
      <w:bCs/>
      <w:sz w:val="28"/>
      <w:szCs w:val="28"/>
    </w:rPr>
  </w:style>
  <w:style w:type="character" w:customStyle="1" w:styleId="50">
    <w:name w:val="标题 5 字符"/>
    <w:basedOn w:val="a0"/>
    <w:link w:val="5"/>
    <w:uiPriority w:val="9"/>
    <w:semiHidden/>
    <w:rsid w:val="009A69FA"/>
    <w:rPr>
      <w:b/>
      <w:bCs/>
      <w:i/>
      <w:iCs/>
      <w:sz w:val="26"/>
      <w:szCs w:val="26"/>
    </w:rPr>
  </w:style>
  <w:style w:type="character" w:customStyle="1" w:styleId="60">
    <w:name w:val="标题 6 字符"/>
    <w:basedOn w:val="a0"/>
    <w:link w:val="6"/>
    <w:uiPriority w:val="9"/>
    <w:semiHidden/>
    <w:rsid w:val="009A69FA"/>
    <w:rPr>
      <w:b/>
      <w:bCs/>
    </w:rPr>
  </w:style>
  <w:style w:type="character" w:customStyle="1" w:styleId="70">
    <w:name w:val="标题 7 字符"/>
    <w:basedOn w:val="a0"/>
    <w:link w:val="7"/>
    <w:uiPriority w:val="9"/>
    <w:semiHidden/>
    <w:rsid w:val="009A69FA"/>
    <w:rPr>
      <w:sz w:val="24"/>
      <w:szCs w:val="24"/>
    </w:rPr>
  </w:style>
  <w:style w:type="character" w:customStyle="1" w:styleId="80">
    <w:name w:val="标题 8 字符"/>
    <w:basedOn w:val="a0"/>
    <w:link w:val="8"/>
    <w:uiPriority w:val="9"/>
    <w:semiHidden/>
    <w:rsid w:val="009A69FA"/>
    <w:rPr>
      <w:i/>
      <w:iCs/>
      <w:sz w:val="24"/>
      <w:szCs w:val="24"/>
    </w:rPr>
  </w:style>
  <w:style w:type="character" w:customStyle="1" w:styleId="90">
    <w:name w:val="标题 9 字符"/>
    <w:basedOn w:val="a0"/>
    <w:link w:val="9"/>
    <w:uiPriority w:val="9"/>
    <w:semiHidden/>
    <w:rsid w:val="009A69FA"/>
    <w:rPr>
      <w:rFonts w:asciiTheme="majorHAnsi" w:eastAsiaTheme="majorEastAsia" w:hAnsiTheme="majorHAnsi"/>
    </w:rPr>
  </w:style>
  <w:style w:type="paragraph" w:styleId="a7">
    <w:name w:val="Title"/>
    <w:basedOn w:val="a"/>
    <w:next w:val="a"/>
    <w:link w:val="a8"/>
    <w:uiPriority w:val="10"/>
    <w:qFormat/>
    <w:rsid w:val="009A69FA"/>
    <w:pPr>
      <w:spacing w:before="240" w:after="60"/>
      <w:jc w:val="center"/>
      <w:outlineLvl w:val="0"/>
    </w:pPr>
    <w:rPr>
      <w:rFonts w:asciiTheme="majorHAnsi" w:eastAsiaTheme="majorEastAsia" w:hAnsiTheme="majorHAnsi"/>
      <w:b/>
      <w:bCs/>
      <w:kern w:val="28"/>
      <w:sz w:val="32"/>
      <w:szCs w:val="32"/>
    </w:rPr>
  </w:style>
  <w:style w:type="character" w:customStyle="1" w:styleId="a8">
    <w:name w:val="标题 字符"/>
    <w:basedOn w:val="a0"/>
    <w:link w:val="a7"/>
    <w:uiPriority w:val="10"/>
    <w:rsid w:val="009A69FA"/>
    <w:rPr>
      <w:rFonts w:asciiTheme="majorHAnsi" w:eastAsiaTheme="majorEastAsia" w:hAnsiTheme="majorHAnsi"/>
      <w:b/>
      <w:bCs/>
      <w:kern w:val="28"/>
      <w:sz w:val="32"/>
      <w:szCs w:val="32"/>
    </w:rPr>
  </w:style>
  <w:style w:type="paragraph" w:styleId="a9">
    <w:name w:val="Subtitle"/>
    <w:basedOn w:val="a"/>
    <w:next w:val="a"/>
    <w:link w:val="aa"/>
    <w:uiPriority w:val="11"/>
    <w:qFormat/>
    <w:rsid w:val="009A69FA"/>
    <w:pPr>
      <w:spacing w:after="60"/>
      <w:jc w:val="center"/>
      <w:outlineLvl w:val="1"/>
    </w:pPr>
    <w:rPr>
      <w:rFonts w:asciiTheme="majorHAnsi" w:eastAsiaTheme="majorEastAsia" w:hAnsiTheme="majorHAnsi"/>
    </w:rPr>
  </w:style>
  <w:style w:type="character" w:customStyle="1" w:styleId="aa">
    <w:name w:val="副标题 字符"/>
    <w:basedOn w:val="a0"/>
    <w:link w:val="a9"/>
    <w:uiPriority w:val="11"/>
    <w:rsid w:val="009A69FA"/>
    <w:rPr>
      <w:rFonts w:asciiTheme="majorHAnsi" w:eastAsiaTheme="majorEastAsia" w:hAnsiTheme="majorHAnsi"/>
      <w:sz w:val="24"/>
      <w:szCs w:val="24"/>
    </w:rPr>
  </w:style>
  <w:style w:type="character" w:styleId="ab">
    <w:name w:val="Strong"/>
    <w:basedOn w:val="a0"/>
    <w:uiPriority w:val="22"/>
    <w:qFormat/>
    <w:rsid w:val="009A69FA"/>
    <w:rPr>
      <w:b/>
      <w:bCs/>
    </w:rPr>
  </w:style>
  <w:style w:type="character" w:styleId="ac">
    <w:name w:val="Emphasis"/>
    <w:basedOn w:val="a0"/>
    <w:uiPriority w:val="20"/>
    <w:qFormat/>
    <w:rsid w:val="009A69FA"/>
    <w:rPr>
      <w:rFonts w:asciiTheme="minorHAnsi" w:hAnsiTheme="minorHAnsi"/>
      <w:b/>
      <w:i/>
      <w:iCs/>
    </w:rPr>
  </w:style>
  <w:style w:type="paragraph" w:styleId="ad">
    <w:name w:val="No Spacing"/>
    <w:basedOn w:val="a"/>
    <w:uiPriority w:val="1"/>
    <w:qFormat/>
    <w:rsid w:val="009A69FA"/>
    <w:rPr>
      <w:szCs w:val="32"/>
    </w:rPr>
  </w:style>
  <w:style w:type="paragraph" w:styleId="ae">
    <w:name w:val="List Paragraph"/>
    <w:basedOn w:val="a"/>
    <w:uiPriority w:val="34"/>
    <w:qFormat/>
    <w:rsid w:val="009A69FA"/>
    <w:pPr>
      <w:ind w:left="720"/>
      <w:contextualSpacing/>
    </w:pPr>
  </w:style>
  <w:style w:type="paragraph" w:styleId="af">
    <w:name w:val="Quote"/>
    <w:basedOn w:val="a"/>
    <w:next w:val="a"/>
    <w:link w:val="af0"/>
    <w:uiPriority w:val="29"/>
    <w:qFormat/>
    <w:rsid w:val="009A69FA"/>
    <w:rPr>
      <w:i/>
    </w:rPr>
  </w:style>
  <w:style w:type="character" w:customStyle="1" w:styleId="af0">
    <w:name w:val="引用 字符"/>
    <w:basedOn w:val="a0"/>
    <w:link w:val="af"/>
    <w:uiPriority w:val="29"/>
    <w:rsid w:val="009A69FA"/>
    <w:rPr>
      <w:i/>
      <w:sz w:val="24"/>
      <w:szCs w:val="24"/>
    </w:rPr>
  </w:style>
  <w:style w:type="paragraph" w:styleId="af1">
    <w:name w:val="Intense Quote"/>
    <w:basedOn w:val="a"/>
    <w:next w:val="a"/>
    <w:link w:val="af2"/>
    <w:uiPriority w:val="30"/>
    <w:qFormat/>
    <w:rsid w:val="009A69FA"/>
    <w:pPr>
      <w:ind w:left="720" w:right="720"/>
    </w:pPr>
    <w:rPr>
      <w:b/>
      <w:i/>
      <w:szCs w:val="22"/>
    </w:rPr>
  </w:style>
  <w:style w:type="character" w:customStyle="1" w:styleId="af2">
    <w:name w:val="明显引用 字符"/>
    <w:basedOn w:val="a0"/>
    <w:link w:val="af1"/>
    <w:uiPriority w:val="30"/>
    <w:rsid w:val="009A69FA"/>
    <w:rPr>
      <w:b/>
      <w:i/>
      <w:sz w:val="24"/>
    </w:rPr>
  </w:style>
  <w:style w:type="character" w:styleId="af3">
    <w:name w:val="Subtle Emphasis"/>
    <w:uiPriority w:val="19"/>
    <w:qFormat/>
    <w:rsid w:val="009A69FA"/>
    <w:rPr>
      <w:i/>
      <w:color w:val="5A5A5A" w:themeColor="text1" w:themeTint="A5"/>
    </w:rPr>
  </w:style>
  <w:style w:type="character" w:styleId="af4">
    <w:name w:val="Intense Emphasis"/>
    <w:basedOn w:val="a0"/>
    <w:uiPriority w:val="21"/>
    <w:qFormat/>
    <w:rsid w:val="009A69FA"/>
    <w:rPr>
      <w:b/>
      <w:i/>
      <w:sz w:val="24"/>
      <w:szCs w:val="24"/>
      <w:u w:val="single"/>
    </w:rPr>
  </w:style>
  <w:style w:type="character" w:styleId="af5">
    <w:name w:val="Subtle Reference"/>
    <w:basedOn w:val="a0"/>
    <w:uiPriority w:val="31"/>
    <w:qFormat/>
    <w:rsid w:val="009A69FA"/>
    <w:rPr>
      <w:sz w:val="24"/>
      <w:szCs w:val="24"/>
      <w:u w:val="single"/>
    </w:rPr>
  </w:style>
  <w:style w:type="character" w:styleId="af6">
    <w:name w:val="Intense Reference"/>
    <w:basedOn w:val="a0"/>
    <w:uiPriority w:val="32"/>
    <w:qFormat/>
    <w:rsid w:val="009A69FA"/>
    <w:rPr>
      <w:b/>
      <w:sz w:val="24"/>
      <w:u w:val="single"/>
    </w:rPr>
  </w:style>
  <w:style w:type="character" w:styleId="af7">
    <w:name w:val="Book Title"/>
    <w:basedOn w:val="a0"/>
    <w:uiPriority w:val="33"/>
    <w:qFormat/>
    <w:rsid w:val="009A69F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9A69FA"/>
    <w:pPr>
      <w:outlineLvl w:val="9"/>
    </w:pPr>
  </w:style>
  <w:style w:type="paragraph" w:styleId="af8">
    <w:name w:val="Normal (Web)"/>
    <w:basedOn w:val="a"/>
    <w:uiPriority w:val="99"/>
    <w:unhideWhenUsed/>
    <w:qFormat/>
    <w:rsid w:val="000B545F"/>
    <w:pPr>
      <w:spacing w:before="100" w:beforeAutospacing="1" w:after="100" w:afterAutospacing="1"/>
    </w:pPr>
    <w:rPr>
      <w:rFonts w:ascii="宋体" w:eastAsia="宋体" w:hAnsi="宋体" w:cs="宋体"/>
    </w:rPr>
  </w:style>
  <w:style w:type="paragraph" w:styleId="af9">
    <w:name w:val="Balloon Text"/>
    <w:basedOn w:val="a"/>
    <w:link w:val="afa"/>
    <w:uiPriority w:val="99"/>
    <w:semiHidden/>
    <w:unhideWhenUsed/>
    <w:rsid w:val="00127A42"/>
    <w:rPr>
      <w:sz w:val="18"/>
      <w:szCs w:val="18"/>
    </w:rPr>
  </w:style>
  <w:style w:type="character" w:customStyle="1" w:styleId="afa">
    <w:name w:val="批注框文本 字符"/>
    <w:basedOn w:val="a0"/>
    <w:link w:val="af9"/>
    <w:uiPriority w:val="99"/>
    <w:semiHidden/>
    <w:rsid w:val="00127A42"/>
    <w:rPr>
      <w:sz w:val="18"/>
      <w:szCs w:val="18"/>
    </w:rPr>
  </w:style>
  <w:style w:type="character" w:styleId="afb">
    <w:name w:val="Hyperlink"/>
    <w:basedOn w:val="a0"/>
    <w:uiPriority w:val="99"/>
    <w:semiHidden/>
    <w:unhideWhenUsed/>
    <w:rsid w:val="00A10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09634">
      <w:bodyDiv w:val="1"/>
      <w:marLeft w:val="0"/>
      <w:marRight w:val="0"/>
      <w:marTop w:val="0"/>
      <w:marBottom w:val="0"/>
      <w:divBdr>
        <w:top w:val="none" w:sz="0" w:space="0" w:color="auto"/>
        <w:left w:val="none" w:sz="0" w:space="0" w:color="auto"/>
        <w:bottom w:val="none" w:sz="0" w:space="0" w:color="auto"/>
        <w:right w:val="none" w:sz="0" w:space="0" w:color="auto"/>
      </w:divBdr>
    </w:div>
    <w:div w:id="715205715">
      <w:bodyDiv w:val="1"/>
      <w:marLeft w:val="0"/>
      <w:marRight w:val="0"/>
      <w:marTop w:val="0"/>
      <w:marBottom w:val="0"/>
      <w:divBdr>
        <w:top w:val="none" w:sz="0" w:space="0" w:color="auto"/>
        <w:left w:val="none" w:sz="0" w:space="0" w:color="auto"/>
        <w:bottom w:val="none" w:sz="0" w:space="0" w:color="auto"/>
        <w:right w:val="none" w:sz="0" w:space="0" w:color="auto"/>
      </w:divBdr>
    </w:div>
    <w:div w:id="1729108251">
      <w:bodyDiv w:val="1"/>
      <w:marLeft w:val="0"/>
      <w:marRight w:val="0"/>
      <w:marTop w:val="0"/>
      <w:marBottom w:val="0"/>
      <w:divBdr>
        <w:top w:val="none" w:sz="0" w:space="0" w:color="auto"/>
        <w:left w:val="none" w:sz="0" w:space="0" w:color="auto"/>
        <w:bottom w:val="none" w:sz="0" w:space="0" w:color="auto"/>
        <w:right w:val="none" w:sz="0" w:space="0" w:color="auto"/>
      </w:divBdr>
    </w:div>
    <w:div w:id="1881240810">
      <w:bodyDiv w:val="1"/>
      <w:marLeft w:val="0"/>
      <w:marRight w:val="0"/>
      <w:marTop w:val="0"/>
      <w:marBottom w:val="0"/>
      <w:divBdr>
        <w:top w:val="none" w:sz="0" w:space="0" w:color="auto"/>
        <w:left w:val="none" w:sz="0" w:space="0" w:color="auto"/>
        <w:bottom w:val="none" w:sz="0" w:space="0" w:color="auto"/>
        <w:right w:val="none" w:sz="0" w:space="0" w:color="auto"/>
      </w:divBdr>
      <w:divsChild>
        <w:div w:id="94524475">
          <w:marLeft w:val="0"/>
          <w:marRight w:val="0"/>
          <w:marTop w:val="0"/>
          <w:marBottom w:val="0"/>
          <w:divBdr>
            <w:top w:val="none" w:sz="0" w:space="0" w:color="auto"/>
            <w:left w:val="none" w:sz="0" w:space="0" w:color="auto"/>
            <w:bottom w:val="none" w:sz="0" w:space="0" w:color="auto"/>
            <w:right w:val="none" w:sz="0" w:space="0" w:color="auto"/>
          </w:divBdr>
          <w:divsChild>
            <w:div w:id="866792678">
              <w:marLeft w:val="0"/>
              <w:marRight w:val="0"/>
              <w:marTop w:val="0"/>
              <w:marBottom w:val="0"/>
              <w:divBdr>
                <w:top w:val="none" w:sz="0" w:space="0" w:color="auto"/>
                <w:left w:val="none" w:sz="0" w:space="0" w:color="auto"/>
                <w:bottom w:val="none" w:sz="0" w:space="0" w:color="auto"/>
                <w:right w:val="none" w:sz="0" w:space="0" w:color="auto"/>
              </w:divBdr>
              <w:divsChild>
                <w:div w:id="399332005">
                  <w:marLeft w:val="0"/>
                  <w:marRight w:val="0"/>
                  <w:marTop w:val="150"/>
                  <w:marBottom w:val="0"/>
                  <w:divBdr>
                    <w:top w:val="single" w:sz="6" w:space="8" w:color="E5E5E5"/>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ostone-02\Desktop\&#24066;&#22330;&#36319;&#36394;&#34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申万一级行业月度表现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申万行业月度表现!$A$2</c:f>
              <c:strCache>
                <c:ptCount val="1"/>
                <c:pt idx="0">
                  <c:v>食品饮料</c:v>
                </c:pt>
              </c:strCache>
            </c:strRef>
          </c:tx>
          <c:spPr>
            <a:solidFill>
              <a:schemeClr val="accent1"/>
            </a:solidFill>
            <a:ln>
              <a:noFill/>
            </a:ln>
            <a:effectLst/>
          </c:spPr>
          <c:invertIfNegative val="0"/>
          <c:cat>
            <c:strRef>
              <c:f>申万行业月度表现!$B$1</c:f>
              <c:strCache>
                <c:ptCount val="1"/>
                <c:pt idx="0">
                  <c:v>申万一级行业月度涨幅%</c:v>
                </c:pt>
              </c:strCache>
            </c:strRef>
          </c:cat>
          <c:val>
            <c:numRef>
              <c:f>申万行业月度表现!$B$2</c:f>
              <c:numCache>
                <c:formatCode>#,##0.0000</c:formatCode>
                <c:ptCount val="1"/>
                <c:pt idx="0">
                  <c:v>11.013199999999999</c:v>
                </c:pt>
              </c:numCache>
            </c:numRef>
          </c:val>
          <c:extLst>
            <c:ext xmlns:c16="http://schemas.microsoft.com/office/drawing/2014/chart" uri="{C3380CC4-5D6E-409C-BE32-E72D297353CC}">
              <c16:uniqueId val="{00000000-BE7A-488A-9BDB-F1C1EC05BA6E}"/>
            </c:ext>
          </c:extLst>
        </c:ser>
        <c:ser>
          <c:idx val="1"/>
          <c:order val="1"/>
          <c:tx>
            <c:strRef>
              <c:f>申万行业月度表现!$A$3</c:f>
              <c:strCache>
                <c:ptCount val="1"/>
                <c:pt idx="0">
                  <c:v>非银金融</c:v>
                </c:pt>
              </c:strCache>
            </c:strRef>
          </c:tx>
          <c:spPr>
            <a:solidFill>
              <a:schemeClr val="accent2"/>
            </a:solidFill>
            <a:ln>
              <a:noFill/>
            </a:ln>
            <a:effectLst/>
          </c:spPr>
          <c:invertIfNegative val="0"/>
          <c:cat>
            <c:strRef>
              <c:f>申万行业月度表现!$B$1</c:f>
              <c:strCache>
                <c:ptCount val="1"/>
                <c:pt idx="0">
                  <c:v>申万一级行业月度涨幅%</c:v>
                </c:pt>
              </c:strCache>
            </c:strRef>
          </c:cat>
          <c:val>
            <c:numRef>
              <c:f>申万行业月度表现!$B$3</c:f>
              <c:numCache>
                <c:formatCode>#,##0.0000</c:formatCode>
                <c:ptCount val="1"/>
                <c:pt idx="0">
                  <c:v>9.6865000000000006</c:v>
                </c:pt>
              </c:numCache>
            </c:numRef>
          </c:val>
          <c:extLst>
            <c:ext xmlns:c16="http://schemas.microsoft.com/office/drawing/2014/chart" uri="{C3380CC4-5D6E-409C-BE32-E72D297353CC}">
              <c16:uniqueId val="{00000001-BE7A-488A-9BDB-F1C1EC05BA6E}"/>
            </c:ext>
          </c:extLst>
        </c:ser>
        <c:ser>
          <c:idx val="2"/>
          <c:order val="2"/>
          <c:tx>
            <c:strRef>
              <c:f>申万行业月度表现!$A$4</c:f>
              <c:strCache>
                <c:ptCount val="1"/>
                <c:pt idx="0">
                  <c:v>休闲服务</c:v>
                </c:pt>
              </c:strCache>
            </c:strRef>
          </c:tx>
          <c:spPr>
            <a:solidFill>
              <a:schemeClr val="accent3"/>
            </a:solidFill>
            <a:ln>
              <a:noFill/>
            </a:ln>
            <a:effectLst/>
          </c:spPr>
          <c:invertIfNegative val="0"/>
          <c:cat>
            <c:strRef>
              <c:f>申万行业月度表现!$B$1</c:f>
              <c:strCache>
                <c:ptCount val="1"/>
                <c:pt idx="0">
                  <c:v>申万一级行业月度涨幅%</c:v>
                </c:pt>
              </c:strCache>
            </c:strRef>
          </c:cat>
          <c:val>
            <c:numRef>
              <c:f>申万行业月度表现!$B$4</c:f>
              <c:numCache>
                <c:formatCode>#,##0.0000</c:formatCode>
                <c:ptCount val="1"/>
                <c:pt idx="0">
                  <c:v>8.6382999999999992</c:v>
                </c:pt>
              </c:numCache>
            </c:numRef>
          </c:val>
          <c:extLst>
            <c:ext xmlns:c16="http://schemas.microsoft.com/office/drawing/2014/chart" uri="{C3380CC4-5D6E-409C-BE32-E72D297353CC}">
              <c16:uniqueId val="{00000002-BE7A-488A-9BDB-F1C1EC05BA6E}"/>
            </c:ext>
          </c:extLst>
        </c:ser>
        <c:ser>
          <c:idx val="3"/>
          <c:order val="3"/>
          <c:tx>
            <c:strRef>
              <c:f>申万行业月度表现!$A$5</c:f>
              <c:strCache>
                <c:ptCount val="1"/>
                <c:pt idx="0">
                  <c:v>通信</c:v>
                </c:pt>
              </c:strCache>
            </c:strRef>
          </c:tx>
          <c:spPr>
            <a:solidFill>
              <a:schemeClr val="accent4"/>
            </a:solidFill>
            <a:ln>
              <a:noFill/>
            </a:ln>
            <a:effectLst/>
          </c:spPr>
          <c:invertIfNegative val="0"/>
          <c:cat>
            <c:strRef>
              <c:f>申万行业月度表现!$B$1</c:f>
              <c:strCache>
                <c:ptCount val="1"/>
                <c:pt idx="0">
                  <c:v>申万一级行业月度涨幅%</c:v>
                </c:pt>
              </c:strCache>
            </c:strRef>
          </c:cat>
          <c:val>
            <c:numRef>
              <c:f>申万行业月度表现!$B$5</c:f>
              <c:numCache>
                <c:formatCode>#,##0.0000</c:formatCode>
                <c:ptCount val="1"/>
                <c:pt idx="0">
                  <c:v>6.4143999999999997</c:v>
                </c:pt>
              </c:numCache>
            </c:numRef>
          </c:val>
          <c:extLst>
            <c:ext xmlns:c16="http://schemas.microsoft.com/office/drawing/2014/chart" uri="{C3380CC4-5D6E-409C-BE32-E72D297353CC}">
              <c16:uniqueId val="{00000003-BE7A-488A-9BDB-F1C1EC05BA6E}"/>
            </c:ext>
          </c:extLst>
        </c:ser>
        <c:ser>
          <c:idx val="4"/>
          <c:order val="4"/>
          <c:tx>
            <c:strRef>
              <c:f>申万行业月度表现!$A$6</c:f>
              <c:strCache>
                <c:ptCount val="1"/>
                <c:pt idx="0">
                  <c:v>电子</c:v>
                </c:pt>
              </c:strCache>
            </c:strRef>
          </c:tx>
          <c:spPr>
            <a:solidFill>
              <a:schemeClr val="accent5"/>
            </a:solidFill>
            <a:ln>
              <a:noFill/>
            </a:ln>
            <a:effectLst/>
          </c:spPr>
          <c:invertIfNegative val="0"/>
          <c:cat>
            <c:strRef>
              <c:f>申万行业月度表现!$B$1</c:f>
              <c:strCache>
                <c:ptCount val="1"/>
                <c:pt idx="0">
                  <c:v>申万一级行业月度涨幅%</c:v>
                </c:pt>
              </c:strCache>
            </c:strRef>
          </c:cat>
          <c:val>
            <c:numRef>
              <c:f>申万行业月度表现!$B$6</c:f>
              <c:numCache>
                <c:formatCode>#,##0.0000</c:formatCode>
                <c:ptCount val="1"/>
                <c:pt idx="0">
                  <c:v>5.4814999999999996</c:v>
                </c:pt>
              </c:numCache>
            </c:numRef>
          </c:val>
          <c:extLst>
            <c:ext xmlns:c16="http://schemas.microsoft.com/office/drawing/2014/chart" uri="{C3380CC4-5D6E-409C-BE32-E72D297353CC}">
              <c16:uniqueId val="{00000004-BE7A-488A-9BDB-F1C1EC05BA6E}"/>
            </c:ext>
          </c:extLst>
        </c:ser>
        <c:ser>
          <c:idx val="5"/>
          <c:order val="5"/>
          <c:tx>
            <c:strRef>
              <c:f>申万行业月度表现!$A$7</c:f>
              <c:strCache>
                <c:ptCount val="1"/>
                <c:pt idx="0">
                  <c:v>建筑材料</c:v>
                </c:pt>
              </c:strCache>
            </c:strRef>
          </c:tx>
          <c:spPr>
            <a:solidFill>
              <a:schemeClr val="accent6"/>
            </a:solidFill>
            <a:ln>
              <a:noFill/>
            </a:ln>
            <a:effectLst/>
          </c:spPr>
          <c:invertIfNegative val="0"/>
          <c:cat>
            <c:strRef>
              <c:f>申万行业月度表现!$B$1</c:f>
              <c:strCache>
                <c:ptCount val="1"/>
                <c:pt idx="0">
                  <c:v>申万一级行业月度涨幅%</c:v>
                </c:pt>
              </c:strCache>
            </c:strRef>
          </c:cat>
          <c:val>
            <c:numRef>
              <c:f>申万行业月度表现!$B$7</c:f>
              <c:numCache>
                <c:formatCode>#,##0.0000</c:formatCode>
                <c:ptCount val="1"/>
                <c:pt idx="0">
                  <c:v>5.1113</c:v>
                </c:pt>
              </c:numCache>
            </c:numRef>
          </c:val>
          <c:extLst>
            <c:ext xmlns:c16="http://schemas.microsoft.com/office/drawing/2014/chart" uri="{C3380CC4-5D6E-409C-BE32-E72D297353CC}">
              <c16:uniqueId val="{00000005-BE7A-488A-9BDB-F1C1EC05BA6E}"/>
            </c:ext>
          </c:extLst>
        </c:ser>
        <c:ser>
          <c:idx val="6"/>
          <c:order val="6"/>
          <c:tx>
            <c:strRef>
              <c:f>申万行业月度表现!$A$8</c:f>
              <c:strCache>
                <c:ptCount val="1"/>
                <c:pt idx="0">
                  <c:v>银行</c:v>
                </c:pt>
              </c:strCache>
            </c:strRef>
          </c:tx>
          <c:spPr>
            <a:solidFill>
              <a:schemeClr val="accent1">
                <a:lumMod val="60000"/>
              </a:schemeClr>
            </a:solidFill>
            <a:ln>
              <a:noFill/>
            </a:ln>
            <a:effectLst/>
          </c:spPr>
          <c:invertIfNegative val="0"/>
          <c:cat>
            <c:strRef>
              <c:f>申万行业月度表现!$B$1</c:f>
              <c:strCache>
                <c:ptCount val="1"/>
                <c:pt idx="0">
                  <c:v>申万一级行业月度涨幅%</c:v>
                </c:pt>
              </c:strCache>
            </c:strRef>
          </c:cat>
          <c:val>
            <c:numRef>
              <c:f>申万行业月度表现!$B$8</c:f>
              <c:numCache>
                <c:formatCode>#,##0.0000</c:formatCode>
                <c:ptCount val="1"/>
                <c:pt idx="0">
                  <c:v>4.7622</c:v>
                </c:pt>
              </c:numCache>
            </c:numRef>
          </c:val>
          <c:extLst>
            <c:ext xmlns:c16="http://schemas.microsoft.com/office/drawing/2014/chart" uri="{C3380CC4-5D6E-409C-BE32-E72D297353CC}">
              <c16:uniqueId val="{00000006-BE7A-488A-9BDB-F1C1EC05BA6E}"/>
            </c:ext>
          </c:extLst>
        </c:ser>
        <c:ser>
          <c:idx val="7"/>
          <c:order val="7"/>
          <c:tx>
            <c:strRef>
              <c:f>申万行业月度表现!$A$9</c:f>
              <c:strCache>
                <c:ptCount val="1"/>
                <c:pt idx="0">
                  <c:v>计算机</c:v>
                </c:pt>
              </c:strCache>
            </c:strRef>
          </c:tx>
          <c:spPr>
            <a:solidFill>
              <a:schemeClr val="accent2">
                <a:lumMod val="60000"/>
              </a:schemeClr>
            </a:solidFill>
            <a:ln>
              <a:noFill/>
            </a:ln>
            <a:effectLst/>
          </c:spPr>
          <c:invertIfNegative val="0"/>
          <c:cat>
            <c:strRef>
              <c:f>申万行业月度表现!$B$1</c:f>
              <c:strCache>
                <c:ptCount val="1"/>
                <c:pt idx="0">
                  <c:v>申万一级行业月度涨幅%</c:v>
                </c:pt>
              </c:strCache>
            </c:strRef>
          </c:cat>
          <c:val>
            <c:numRef>
              <c:f>申万行业月度表现!$B$9</c:f>
              <c:numCache>
                <c:formatCode>#,##0.0000</c:formatCode>
                <c:ptCount val="1"/>
                <c:pt idx="0">
                  <c:v>4.7339000000000002</c:v>
                </c:pt>
              </c:numCache>
            </c:numRef>
          </c:val>
          <c:extLst>
            <c:ext xmlns:c16="http://schemas.microsoft.com/office/drawing/2014/chart" uri="{C3380CC4-5D6E-409C-BE32-E72D297353CC}">
              <c16:uniqueId val="{00000007-BE7A-488A-9BDB-F1C1EC05BA6E}"/>
            </c:ext>
          </c:extLst>
        </c:ser>
        <c:ser>
          <c:idx val="8"/>
          <c:order val="8"/>
          <c:tx>
            <c:strRef>
              <c:f>申万行业月度表现!$A$10</c:f>
              <c:strCache>
                <c:ptCount val="1"/>
                <c:pt idx="0">
                  <c:v>家用电器</c:v>
                </c:pt>
              </c:strCache>
            </c:strRef>
          </c:tx>
          <c:spPr>
            <a:solidFill>
              <a:schemeClr val="accent3">
                <a:lumMod val="60000"/>
              </a:schemeClr>
            </a:solidFill>
            <a:ln>
              <a:noFill/>
            </a:ln>
            <a:effectLst/>
          </c:spPr>
          <c:invertIfNegative val="0"/>
          <c:cat>
            <c:strRef>
              <c:f>申万行业月度表现!$B$1</c:f>
              <c:strCache>
                <c:ptCount val="1"/>
                <c:pt idx="0">
                  <c:v>申万一级行业月度涨幅%</c:v>
                </c:pt>
              </c:strCache>
            </c:strRef>
          </c:cat>
          <c:val>
            <c:numRef>
              <c:f>申万行业月度表现!$B$10</c:f>
              <c:numCache>
                <c:formatCode>#,##0.0000</c:formatCode>
                <c:ptCount val="1"/>
                <c:pt idx="0">
                  <c:v>4.4993999999999996</c:v>
                </c:pt>
              </c:numCache>
            </c:numRef>
          </c:val>
          <c:extLst>
            <c:ext xmlns:c16="http://schemas.microsoft.com/office/drawing/2014/chart" uri="{C3380CC4-5D6E-409C-BE32-E72D297353CC}">
              <c16:uniqueId val="{00000008-BE7A-488A-9BDB-F1C1EC05BA6E}"/>
            </c:ext>
          </c:extLst>
        </c:ser>
        <c:ser>
          <c:idx val="9"/>
          <c:order val="9"/>
          <c:tx>
            <c:strRef>
              <c:f>申万行业月度表现!$A$11</c:f>
              <c:strCache>
                <c:ptCount val="1"/>
                <c:pt idx="0">
                  <c:v>机械设备</c:v>
                </c:pt>
              </c:strCache>
            </c:strRef>
          </c:tx>
          <c:spPr>
            <a:solidFill>
              <a:schemeClr val="accent4">
                <a:lumMod val="60000"/>
              </a:schemeClr>
            </a:solidFill>
            <a:ln>
              <a:noFill/>
            </a:ln>
            <a:effectLst/>
          </c:spPr>
          <c:invertIfNegative val="0"/>
          <c:cat>
            <c:strRef>
              <c:f>申万行业月度表现!$B$1</c:f>
              <c:strCache>
                <c:ptCount val="1"/>
                <c:pt idx="0">
                  <c:v>申万一级行业月度涨幅%</c:v>
                </c:pt>
              </c:strCache>
            </c:strRef>
          </c:cat>
          <c:val>
            <c:numRef>
              <c:f>申万行业月度表现!$B$11</c:f>
              <c:numCache>
                <c:formatCode>#,##0.0000</c:formatCode>
                <c:ptCount val="1"/>
                <c:pt idx="0">
                  <c:v>4.4435000000000002</c:v>
                </c:pt>
              </c:numCache>
            </c:numRef>
          </c:val>
          <c:extLst>
            <c:ext xmlns:c16="http://schemas.microsoft.com/office/drawing/2014/chart" uri="{C3380CC4-5D6E-409C-BE32-E72D297353CC}">
              <c16:uniqueId val="{00000009-BE7A-488A-9BDB-F1C1EC05BA6E}"/>
            </c:ext>
          </c:extLst>
        </c:ser>
        <c:ser>
          <c:idx val="10"/>
          <c:order val="10"/>
          <c:tx>
            <c:strRef>
              <c:f>申万行业月度表现!$A$12</c:f>
              <c:strCache>
                <c:ptCount val="1"/>
                <c:pt idx="0">
                  <c:v>有色金属</c:v>
                </c:pt>
              </c:strCache>
            </c:strRef>
          </c:tx>
          <c:spPr>
            <a:solidFill>
              <a:schemeClr val="accent5">
                <a:lumMod val="60000"/>
              </a:schemeClr>
            </a:solidFill>
            <a:ln>
              <a:noFill/>
            </a:ln>
            <a:effectLst/>
          </c:spPr>
          <c:invertIfNegative val="0"/>
          <c:cat>
            <c:strRef>
              <c:f>申万行业月度表现!$B$1</c:f>
              <c:strCache>
                <c:ptCount val="1"/>
                <c:pt idx="0">
                  <c:v>申万一级行业月度涨幅%</c:v>
                </c:pt>
              </c:strCache>
            </c:strRef>
          </c:cat>
          <c:val>
            <c:numRef>
              <c:f>申万行业月度表现!$B$12</c:f>
              <c:numCache>
                <c:formatCode>#,##0.0000</c:formatCode>
                <c:ptCount val="1"/>
                <c:pt idx="0">
                  <c:v>3.9277000000000002</c:v>
                </c:pt>
              </c:numCache>
            </c:numRef>
          </c:val>
          <c:extLst>
            <c:ext xmlns:c16="http://schemas.microsoft.com/office/drawing/2014/chart" uri="{C3380CC4-5D6E-409C-BE32-E72D297353CC}">
              <c16:uniqueId val="{0000000A-BE7A-488A-9BDB-F1C1EC05BA6E}"/>
            </c:ext>
          </c:extLst>
        </c:ser>
        <c:ser>
          <c:idx val="11"/>
          <c:order val="11"/>
          <c:tx>
            <c:strRef>
              <c:f>申万行业月度表现!$A$13</c:f>
              <c:strCache>
                <c:ptCount val="1"/>
                <c:pt idx="0">
                  <c:v>建筑装饰</c:v>
                </c:pt>
              </c:strCache>
            </c:strRef>
          </c:tx>
          <c:spPr>
            <a:solidFill>
              <a:schemeClr val="accent6">
                <a:lumMod val="60000"/>
              </a:schemeClr>
            </a:solidFill>
            <a:ln>
              <a:noFill/>
            </a:ln>
            <a:effectLst/>
          </c:spPr>
          <c:invertIfNegative val="0"/>
          <c:cat>
            <c:strRef>
              <c:f>申万行业月度表现!$B$1</c:f>
              <c:strCache>
                <c:ptCount val="1"/>
                <c:pt idx="0">
                  <c:v>申万一级行业月度涨幅%</c:v>
                </c:pt>
              </c:strCache>
            </c:strRef>
          </c:cat>
          <c:val>
            <c:numRef>
              <c:f>申万行业月度表现!$B$13</c:f>
              <c:numCache>
                <c:formatCode>#,##0.0000</c:formatCode>
                <c:ptCount val="1"/>
                <c:pt idx="0">
                  <c:v>3.7919</c:v>
                </c:pt>
              </c:numCache>
            </c:numRef>
          </c:val>
          <c:extLst>
            <c:ext xmlns:c16="http://schemas.microsoft.com/office/drawing/2014/chart" uri="{C3380CC4-5D6E-409C-BE32-E72D297353CC}">
              <c16:uniqueId val="{0000000B-BE7A-488A-9BDB-F1C1EC05BA6E}"/>
            </c:ext>
          </c:extLst>
        </c:ser>
        <c:ser>
          <c:idx val="12"/>
          <c:order val="12"/>
          <c:tx>
            <c:strRef>
              <c:f>申万行业月度表现!$A$14</c:f>
              <c:strCache>
                <c:ptCount val="1"/>
                <c:pt idx="0">
                  <c:v>医药生物</c:v>
                </c:pt>
              </c:strCache>
            </c:strRef>
          </c:tx>
          <c:spPr>
            <a:solidFill>
              <a:schemeClr val="accent1">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申万行业月度表现!$B$14</c:f>
              <c:numCache>
                <c:formatCode>#,##0.0000</c:formatCode>
                <c:ptCount val="1"/>
                <c:pt idx="0">
                  <c:v>3.7574999999999998</c:v>
                </c:pt>
              </c:numCache>
            </c:numRef>
          </c:val>
          <c:extLst>
            <c:ext xmlns:c16="http://schemas.microsoft.com/office/drawing/2014/chart" uri="{C3380CC4-5D6E-409C-BE32-E72D297353CC}">
              <c16:uniqueId val="{0000000C-BE7A-488A-9BDB-F1C1EC05BA6E}"/>
            </c:ext>
          </c:extLst>
        </c:ser>
        <c:ser>
          <c:idx val="13"/>
          <c:order val="13"/>
          <c:tx>
            <c:strRef>
              <c:f>申万行业月度表现!$A$15</c:f>
              <c:strCache>
                <c:ptCount val="1"/>
                <c:pt idx="0">
                  <c:v>商业贸易</c:v>
                </c:pt>
              </c:strCache>
            </c:strRef>
          </c:tx>
          <c:spPr>
            <a:solidFill>
              <a:schemeClr val="accent2">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申万行业月度表现!$B$15</c:f>
              <c:numCache>
                <c:formatCode>#,##0.0000</c:formatCode>
                <c:ptCount val="1"/>
                <c:pt idx="0">
                  <c:v>3.4944000000000002</c:v>
                </c:pt>
              </c:numCache>
            </c:numRef>
          </c:val>
          <c:extLst>
            <c:ext xmlns:c16="http://schemas.microsoft.com/office/drawing/2014/chart" uri="{C3380CC4-5D6E-409C-BE32-E72D297353CC}">
              <c16:uniqueId val="{0000000D-BE7A-488A-9BDB-F1C1EC05BA6E}"/>
            </c:ext>
          </c:extLst>
        </c:ser>
        <c:ser>
          <c:idx val="14"/>
          <c:order val="14"/>
          <c:tx>
            <c:strRef>
              <c:f>申万行业月度表现!$A$16</c:f>
              <c:strCache>
                <c:ptCount val="1"/>
                <c:pt idx="0">
                  <c:v>交通运输</c:v>
                </c:pt>
              </c:strCache>
            </c:strRef>
          </c:tx>
          <c:spPr>
            <a:solidFill>
              <a:schemeClr val="accent3">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申万行业月度表现!$B$16</c:f>
              <c:numCache>
                <c:formatCode>#,##0.0000</c:formatCode>
                <c:ptCount val="1"/>
                <c:pt idx="0">
                  <c:v>3.1789000000000001</c:v>
                </c:pt>
              </c:numCache>
            </c:numRef>
          </c:val>
          <c:extLst>
            <c:ext xmlns:c16="http://schemas.microsoft.com/office/drawing/2014/chart" uri="{C3380CC4-5D6E-409C-BE32-E72D297353CC}">
              <c16:uniqueId val="{0000000E-BE7A-488A-9BDB-F1C1EC05BA6E}"/>
            </c:ext>
          </c:extLst>
        </c:ser>
        <c:ser>
          <c:idx val="15"/>
          <c:order val="15"/>
          <c:tx>
            <c:strRef>
              <c:f>申万行业月度表现!$A$17</c:f>
              <c:strCache>
                <c:ptCount val="1"/>
                <c:pt idx="0">
                  <c:v>传媒</c:v>
                </c:pt>
              </c:strCache>
            </c:strRef>
          </c:tx>
          <c:spPr>
            <a:solidFill>
              <a:schemeClr val="accent4">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申万行业月度表现!$B$17</c:f>
              <c:numCache>
                <c:formatCode>#,##0.0000</c:formatCode>
                <c:ptCount val="1"/>
                <c:pt idx="0">
                  <c:v>2.8534999999999999</c:v>
                </c:pt>
              </c:numCache>
            </c:numRef>
          </c:val>
          <c:extLst>
            <c:ext xmlns:c16="http://schemas.microsoft.com/office/drawing/2014/chart" uri="{C3380CC4-5D6E-409C-BE32-E72D297353CC}">
              <c16:uniqueId val="{0000000F-BE7A-488A-9BDB-F1C1EC05BA6E}"/>
            </c:ext>
          </c:extLst>
        </c:ser>
        <c:ser>
          <c:idx val="16"/>
          <c:order val="16"/>
          <c:tx>
            <c:strRef>
              <c:f>申万行业月度表现!$A$18</c:f>
              <c:strCache>
                <c:ptCount val="1"/>
                <c:pt idx="0">
                  <c:v>公用事业</c:v>
                </c:pt>
              </c:strCache>
            </c:strRef>
          </c:tx>
          <c:spPr>
            <a:solidFill>
              <a:schemeClr val="accent5">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申万行业月度表现!$B$18</c:f>
              <c:numCache>
                <c:formatCode>#,##0.0000</c:formatCode>
                <c:ptCount val="1"/>
                <c:pt idx="0">
                  <c:v>2.7185000000000001</c:v>
                </c:pt>
              </c:numCache>
            </c:numRef>
          </c:val>
          <c:extLst>
            <c:ext xmlns:c16="http://schemas.microsoft.com/office/drawing/2014/chart" uri="{C3380CC4-5D6E-409C-BE32-E72D297353CC}">
              <c16:uniqueId val="{00000010-BE7A-488A-9BDB-F1C1EC05BA6E}"/>
            </c:ext>
          </c:extLst>
        </c:ser>
        <c:ser>
          <c:idx val="17"/>
          <c:order val="17"/>
          <c:tx>
            <c:strRef>
              <c:f>申万行业月度表现!$A$19</c:f>
              <c:strCache>
                <c:ptCount val="1"/>
                <c:pt idx="0">
                  <c:v>房地产</c:v>
                </c:pt>
              </c:strCache>
            </c:strRef>
          </c:tx>
          <c:spPr>
            <a:solidFill>
              <a:schemeClr val="accent6">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申万行业月度表现!$B$19</c:f>
              <c:numCache>
                <c:formatCode>#,##0.0000</c:formatCode>
                <c:ptCount val="1"/>
                <c:pt idx="0">
                  <c:v>2.6280000000000001</c:v>
                </c:pt>
              </c:numCache>
            </c:numRef>
          </c:val>
          <c:extLst>
            <c:ext xmlns:c16="http://schemas.microsoft.com/office/drawing/2014/chart" uri="{C3380CC4-5D6E-409C-BE32-E72D297353CC}">
              <c16:uniqueId val="{00000011-BE7A-488A-9BDB-F1C1EC05BA6E}"/>
            </c:ext>
          </c:extLst>
        </c:ser>
        <c:ser>
          <c:idx val="18"/>
          <c:order val="18"/>
          <c:tx>
            <c:strRef>
              <c:f>申万行业月度表现!$A$20</c:f>
              <c:strCache>
                <c:ptCount val="1"/>
                <c:pt idx="0">
                  <c:v>汽车</c:v>
                </c:pt>
              </c:strCache>
            </c:strRef>
          </c:tx>
          <c:spPr>
            <a:solidFill>
              <a:schemeClr val="accent1">
                <a:lumMod val="80000"/>
              </a:schemeClr>
            </a:solidFill>
            <a:ln>
              <a:noFill/>
            </a:ln>
            <a:effectLst/>
          </c:spPr>
          <c:invertIfNegative val="0"/>
          <c:cat>
            <c:strRef>
              <c:f>申万行业月度表现!$B$1</c:f>
              <c:strCache>
                <c:ptCount val="1"/>
                <c:pt idx="0">
                  <c:v>申万一级行业月度涨幅%</c:v>
                </c:pt>
              </c:strCache>
            </c:strRef>
          </c:cat>
          <c:val>
            <c:numRef>
              <c:f>申万行业月度表现!$B$20</c:f>
              <c:numCache>
                <c:formatCode>#,##0.0000</c:formatCode>
                <c:ptCount val="1"/>
                <c:pt idx="0">
                  <c:v>2.5644</c:v>
                </c:pt>
              </c:numCache>
            </c:numRef>
          </c:val>
          <c:extLst>
            <c:ext xmlns:c16="http://schemas.microsoft.com/office/drawing/2014/chart" uri="{C3380CC4-5D6E-409C-BE32-E72D297353CC}">
              <c16:uniqueId val="{00000012-BE7A-488A-9BDB-F1C1EC05BA6E}"/>
            </c:ext>
          </c:extLst>
        </c:ser>
        <c:ser>
          <c:idx val="19"/>
          <c:order val="19"/>
          <c:tx>
            <c:strRef>
              <c:f>申万行业月度表现!$A$21</c:f>
              <c:strCache>
                <c:ptCount val="1"/>
                <c:pt idx="0">
                  <c:v>国防军工</c:v>
                </c:pt>
              </c:strCache>
            </c:strRef>
          </c:tx>
          <c:spPr>
            <a:solidFill>
              <a:schemeClr val="accent2">
                <a:lumMod val="80000"/>
              </a:schemeClr>
            </a:solidFill>
            <a:ln>
              <a:noFill/>
            </a:ln>
            <a:effectLst/>
          </c:spPr>
          <c:invertIfNegative val="0"/>
          <c:cat>
            <c:strRef>
              <c:f>申万行业月度表现!$B$1</c:f>
              <c:strCache>
                <c:ptCount val="1"/>
                <c:pt idx="0">
                  <c:v>申万一级行业月度涨幅%</c:v>
                </c:pt>
              </c:strCache>
            </c:strRef>
          </c:cat>
          <c:val>
            <c:numRef>
              <c:f>申万行业月度表现!$B$21</c:f>
              <c:numCache>
                <c:formatCode>#,##0.0000</c:formatCode>
                <c:ptCount val="1"/>
                <c:pt idx="0">
                  <c:v>2.4037999999999999</c:v>
                </c:pt>
              </c:numCache>
            </c:numRef>
          </c:val>
          <c:extLst>
            <c:ext xmlns:c16="http://schemas.microsoft.com/office/drawing/2014/chart" uri="{C3380CC4-5D6E-409C-BE32-E72D297353CC}">
              <c16:uniqueId val="{00000013-BE7A-488A-9BDB-F1C1EC05BA6E}"/>
            </c:ext>
          </c:extLst>
        </c:ser>
        <c:ser>
          <c:idx val="20"/>
          <c:order val="20"/>
          <c:tx>
            <c:strRef>
              <c:f>申万行业月度表现!$A$22</c:f>
              <c:strCache>
                <c:ptCount val="1"/>
                <c:pt idx="0">
                  <c:v>化工</c:v>
                </c:pt>
              </c:strCache>
            </c:strRef>
          </c:tx>
          <c:spPr>
            <a:solidFill>
              <a:schemeClr val="accent3">
                <a:lumMod val="80000"/>
              </a:schemeClr>
            </a:solidFill>
            <a:ln>
              <a:noFill/>
            </a:ln>
            <a:effectLst/>
          </c:spPr>
          <c:invertIfNegative val="0"/>
          <c:cat>
            <c:strRef>
              <c:f>申万行业月度表现!$B$1</c:f>
              <c:strCache>
                <c:ptCount val="1"/>
                <c:pt idx="0">
                  <c:v>申万一级行业月度涨幅%</c:v>
                </c:pt>
              </c:strCache>
            </c:strRef>
          </c:cat>
          <c:val>
            <c:numRef>
              <c:f>申万行业月度表现!$B$22</c:f>
              <c:numCache>
                <c:formatCode>#,##0.0000</c:formatCode>
                <c:ptCount val="1"/>
                <c:pt idx="0">
                  <c:v>2.3403</c:v>
                </c:pt>
              </c:numCache>
            </c:numRef>
          </c:val>
          <c:extLst>
            <c:ext xmlns:c16="http://schemas.microsoft.com/office/drawing/2014/chart" uri="{C3380CC4-5D6E-409C-BE32-E72D297353CC}">
              <c16:uniqueId val="{00000014-BE7A-488A-9BDB-F1C1EC05BA6E}"/>
            </c:ext>
          </c:extLst>
        </c:ser>
        <c:ser>
          <c:idx val="21"/>
          <c:order val="21"/>
          <c:tx>
            <c:strRef>
              <c:f>申万行业月度表现!$A$23</c:f>
              <c:strCache>
                <c:ptCount val="1"/>
                <c:pt idx="0">
                  <c:v>轻工制造</c:v>
                </c:pt>
              </c:strCache>
            </c:strRef>
          </c:tx>
          <c:spPr>
            <a:solidFill>
              <a:schemeClr val="accent4">
                <a:lumMod val="80000"/>
              </a:schemeClr>
            </a:solidFill>
            <a:ln>
              <a:noFill/>
            </a:ln>
            <a:effectLst/>
          </c:spPr>
          <c:invertIfNegative val="0"/>
          <c:cat>
            <c:strRef>
              <c:f>申万行业月度表现!$B$1</c:f>
              <c:strCache>
                <c:ptCount val="1"/>
                <c:pt idx="0">
                  <c:v>申万一级行业月度涨幅%</c:v>
                </c:pt>
              </c:strCache>
            </c:strRef>
          </c:cat>
          <c:val>
            <c:numRef>
              <c:f>申万行业月度表现!$B$23</c:f>
              <c:numCache>
                <c:formatCode>#,##0.0000</c:formatCode>
                <c:ptCount val="1"/>
                <c:pt idx="0">
                  <c:v>1.8893</c:v>
                </c:pt>
              </c:numCache>
            </c:numRef>
          </c:val>
          <c:extLst>
            <c:ext xmlns:c16="http://schemas.microsoft.com/office/drawing/2014/chart" uri="{C3380CC4-5D6E-409C-BE32-E72D297353CC}">
              <c16:uniqueId val="{00000015-BE7A-488A-9BDB-F1C1EC05BA6E}"/>
            </c:ext>
          </c:extLst>
        </c:ser>
        <c:ser>
          <c:idx val="22"/>
          <c:order val="22"/>
          <c:tx>
            <c:strRef>
              <c:f>申万行业月度表现!$A$24</c:f>
              <c:strCache>
                <c:ptCount val="1"/>
                <c:pt idx="0">
                  <c:v>综合</c:v>
                </c:pt>
              </c:strCache>
            </c:strRef>
          </c:tx>
          <c:spPr>
            <a:solidFill>
              <a:schemeClr val="accent5">
                <a:lumMod val="80000"/>
              </a:schemeClr>
            </a:solidFill>
            <a:ln>
              <a:noFill/>
            </a:ln>
            <a:effectLst/>
          </c:spPr>
          <c:invertIfNegative val="0"/>
          <c:cat>
            <c:strRef>
              <c:f>申万行业月度表现!$B$1</c:f>
              <c:strCache>
                <c:ptCount val="1"/>
                <c:pt idx="0">
                  <c:v>申万一级行业月度涨幅%</c:v>
                </c:pt>
              </c:strCache>
            </c:strRef>
          </c:cat>
          <c:val>
            <c:numRef>
              <c:f>申万行业月度表现!$B$24</c:f>
              <c:numCache>
                <c:formatCode>#,##0.0000</c:formatCode>
                <c:ptCount val="1"/>
                <c:pt idx="0">
                  <c:v>1.44</c:v>
                </c:pt>
              </c:numCache>
            </c:numRef>
          </c:val>
          <c:extLst>
            <c:ext xmlns:c16="http://schemas.microsoft.com/office/drawing/2014/chart" uri="{C3380CC4-5D6E-409C-BE32-E72D297353CC}">
              <c16:uniqueId val="{00000016-BE7A-488A-9BDB-F1C1EC05BA6E}"/>
            </c:ext>
          </c:extLst>
        </c:ser>
        <c:ser>
          <c:idx val="23"/>
          <c:order val="23"/>
          <c:tx>
            <c:strRef>
              <c:f>申万行业月度表现!$A$25</c:f>
              <c:strCache>
                <c:ptCount val="1"/>
                <c:pt idx="0">
                  <c:v>采掘</c:v>
                </c:pt>
              </c:strCache>
            </c:strRef>
          </c:tx>
          <c:spPr>
            <a:solidFill>
              <a:schemeClr val="accent6">
                <a:lumMod val="80000"/>
              </a:schemeClr>
            </a:solidFill>
            <a:ln>
              <a:noFill/>
            </a:ln>
            <a:effectLst/>
          </c:spPr>
          <c:invertIfNegative val="0"/>
          <c:cat>
            <c:strRef>
              <c:f>申万行业月度表现!$B$1</c:f>
              <c:strCache>
                <c:ptCount val="1"/>
                <c:pt idx="0">
                  <c:v>申万一级行业月度涨幅%</c:v>
                </c:pt>
              </c:strCache>
            </c:strRef>
          </c:cat>
          <c:val>
            <c:numRef>
              <c:f>申万行业月度表现!$B$25</c:f>
              <c:numCache>
                <c:formatCode>#,##0.0000</c:formatCode>
                <c:ptCount val="1"/>
                <c:pt idx="0">
                  <c:v>1.0350999999999999</c:v>
                </c:pt>
              </c:numCache>
            </c:numRef>
          </c:val>
          <c:extLst>
            <c:ext xmlns:c16="http://schemas.microsoft.com/office/drawing/2014/chart" uri="{C3380CC4-5D6E-409C-BE32-E72D297353CC}">
              <c16:uniqueId val="{00000017-BE7A-488A-9BDB-F1C1EC05BA6E}"/>
            </c:ext>
          </c:extLst>
        </c:ser>
        <c:ser>
          <c:idx val="24"/>
          <c:order val="24"/>
          <c:tx>
            <c:strRef>
              <c:f>申万行业月度表现!$A$26</c:f>
              <c:strCache>
                <c:ptCount val="1"/>
                <c:pt idx="0">
                  <c:v>钢铁</c:v>
                </c:pt>
              </c:strCache>
            </c:strRef>
          </c:tx>
          <c:spPr>
            <a:solidFill>
              <a:schemeClr val="accent1">
                <a:lumMod val="60000"/>
                <a:lumOff val="40000"/>
              </a:schemeClr>
            </a:solidFill>
            <a:ln>
              <a:noFill/>
            </a:ln>
            <a:effectLst/>
          </c:spPr>
          <c:invertIfNegative val="0"/>
          <c:cat>
            <c:strRef>
              <c:f>申万行业月度表现!$B$1</c:f>
              <c:strCache>
                <c:ptCount val="1"/>
                <c:pt idx="0">
                  <c:v>申万一级行业月度涨幅%</c:v>
                </c:pt>
              </c:strCache>
            </c:strRef>
          </c:cat>
          <c:val>
            <c:numRef>
              <c:f>申万行业月度表现!$B$26</c:f>
              <c:numCache>
                <c:formatCode>#,##0.0000</c:formatCode>
                <c:ptCount val="1"/>
                <c:pt idx="0">
                  <c:v>1.0338000000000001</c:v>
                </c:pt>
              </c:numCache>
            </c:numRef>
          </c:val>
          <c:extLst>
            <c:ext xmlns:c16="http://schemas.microsoft.com/office/drawing/2014/chart" uri="{C3380CC4-5D6E-409C-BE32-E72D297353CC}">
              <c16:uniqueId val="{00000018-BE7A-488A-9BDB-F1C1EC05BA6E}"/>
            </c:ext>
          </c:extLst>
        </c:ser>
        <c:ser>
          <c:idx val="25"/>
          <c:order val="25"/>
          <c:tx>
            <c:strRef>
              <c:f>申万行业月度表现!$A$27</c:f>
              <c:strCache>
                <c:ptCount val="1"/>
                <c:pt idx="0">
                  <c:v>纺织服装</c:v>
                </c:pt>
              </c:strCache>
            </c:strRef>
          </c:tx>
          <c:spPr>
            <a:solidFill>
              <a:schemeClr val="accent2">
                <a:lumMod val="60000"/>
                <a:lumOff val="40000"/>
              </a:schemeClr>
            </a:solidFill>
            <a:ln>
              <a:noFill/>
            </a:ln>
            <a:effectLst/>
          </c:spPr>
          <c:invertIfNegative val="0"/>
          <c:cat>
            <c:strRef>
              <c:f>申万行业月度表现!$B$1</c:f>
              <c:strCache>
                <c:ptCount val="1"/>
                <c:pt idx="0">
                  <c:v>申万一级行业月度涨幅%</c:v>
                </c:pt>
              </c:strCache>
            </c:strRef>
          </c:cat>
          <c:val>
            <c:numRef>
              <c:f>申万行业月度表现!$B$27</c:f>
              <c:numCache>
                <c:formatCode>#,##0.0000</c:formatCode>
                <c:ptCount val="1"/>
                <c:pt idx="0">
                  <c:v>0.96289999999999998</c:v>
                </c:pt>
              </c:numCache>
            </c:numRef>
          </c:val>
          <c:extLst>
            <c:ext xmlns:c16="http://schemas.microsoft.com/office/drawing/2014/chart" uri="{C3380CC4-5D6E-409C-BE32-E72D297353CC}">
              <c16:uniqueId val="{00000019-BE7A-488A-9BDB-F1C1EC05BA6E}"/>
            </c:ext>
          </c:extLst>
        </c:ser>
        <c:ser>
          <c:idx val="26"/>
          <c:order val="26"/>
          <c:tx>
            <c:strRef>
              <c:f>申万行业月度表现!$A$28</c:f>
              <c:strCache>
                <c:ptCount val="1"/>
                <c:pt idx="0">
                  <c:v>电气设备</c:v>
                </c:pt>
              </c:strCache>
            </c:strRef>
          </c:tx>
          <c:spPr>
            <a:solidFill>
              <a:schemeClr val="accent3">
                <a:lumMod val="60000"/>
                <a:lumOff val="40000"/>
              </a:schemeClr>
            </a:solidFill>
            <a:ln>
              <a:noFill/>
            </a:ln>
            <a:effectLst/>
          </c:spPr>
          <c:invertIfNegative val="0"/>
          <c:cat>
            <c:strRef>
              <c:f>申万行业月度表现!$B$1</c:f>
              <c:strCache>
                <c:ptCount val="1"/>
                <c:pt idx="0">
                  <c:v>申万一级行业月度涨幅%</c:v>
                </c:pt>
              </c:strCache>
            </c:strRef>
          </c:cat>
          <c:val>
            <c:numRef>
              <c:f>申万行业月度表现!$B$28</c:f>
              <c:numCache>
                <c:formatCode>#,##0.0000</c:formatCode>
                <c:ptCount val="1"/>
                <c:pt idx="0">
                  <c:v>0.81910000000000005</c:v>
                </c:pt>
              </c:numCache>
            </c:numRef>
          </c:val>
          <c:extLst>
            <c:ext xmlns:c16="http://schemas.microsoft.com/office/drawing/2014/chart" uri="{C3380CC4-5D6E-409C-BE32-E72D297353CC}">
              <c16:uniqueId val="{0000001A-BE7A-488A-9BDB-F1C1EC05BA6E}"/>
            </c:ext>
          </c:extLst>
        </c:ser>
        <c:ser>
          <c:idx val="27"/>
          <c:order val="27"/>
          <c:tx>
            <c:strRef>
              <c:f>申万行业月度表现!$A$29</c:f>
              <c:strCache>
                <c:ptCount val="1"/>
                <c:pt idx="0">
                  <c:v>农林牧渔</c:v>
                </c:pt>
              </c:strCache>
            </c:strRef>
          </c:tx>
          <c:spPr>
            <a:solidFill>
              <a:schemeClr val="accent4">
                <a:lumMod val="60000"/>
                <a:lumOff val="40000"/>
              </a:schemeClr>
            </a:solidFill>
            <a:ln>
              <a:noFill/>
            </a:ln>
            <a:effectLst/>
          </c:spPr>
          <c:invertIfNegative val="0"/>
          <c:cat>
            <c:strRef>
              <c:f>申万行业月度表现!$B$1</c:f>
              <c:strCache>
                <c:ptCount val="1"/>
                <c:pt idx="0">
                  <c:v>申万一级行业月度涨幅%</c:v>
                </c:pt>
              </c:strCache>
            </c:strRef>
          </c:cat>
          <c:val>
            <c:numRef>
              <c:f>申万行业月度表现!$B$29</c:f>
              <c:numCache>
                <c:formatCode>#,##0.0000</c:formatCode>
                <c:ptCount val="1"/>
                <c:pt idx="0">
                  <c:v>-6.0392000000000001</c:v>
                </c:pt>
              </c:numCache>
            </c:numRef>
          </c:val>
          <c:extLst>
            <c:ext xmlns:c16="http://schemas.microsoft.com/office/drawing/2014/chart" uri="{C3380CC4-5D6E-409C-BE32-E72D297353CC}">
              <c16:uniqueId val="{0000001B-BE7A-488A-9BDB-F1C1EC05BA6E}"/>
            </c:ext>
          </c:extLst>
        </c:ser>
        <c:dLbls>
          <c:showLegendKey val="0"/>
          <c:showVal val="0"/>
          <c:showCatName val="0"/>
          <c:showSerName val="0"/>
          <c:showPercent val="0"/>
          <c:showBubbleSize val="0"/>
        </c:dLbls>
        <c:gapWidth val="219"/>
        <c:overlap val="-27"/>
        <c:axId val="419355520"/>
        <c:axId val="419356080"/>
      </c:barChart>
      <c:catAx>
        <c:axId val="41935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9356080"/>
        <c:crosses val="autoZero"/>
        <c:auto val="1"/>
        <c:lblAlgn val="ctr"/>
        <c:lblOffset val="100"/>
        <c:noMultiLvlLbl val="0"/>
      </c:catAx>
      <c:valAx>
        <c:axId val="419356080"/>
        <c:scaling>
          <c:orientation val="minMax"/>
          <c:max val="15"/>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935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4026</TotalTime>
  <Pages>5</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投资策略月度报告 （2019年1月31日）</dc:title>
  <dc:subject/>
  <dc:creator>postone-02</dc:creator>
  <cp:keywords/>
  <dc:description/>
  <cp:lastModifiedBy>postone01</cp:lastModifiedBy>
  <cp:revision>667</cp:revision>
  <dcterms:created xsi:type="dcterms:W3CDTF">2019-01-29T03:21:00Z</dcterms:created>
  <dcterms:modified xsi:type="dcterms:W3CDTF">2019-06-28T08:10:00Z</dcterms:modified>
</cp:coreProperties>
</file>