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/>
          <w:position w:val="-13"/>
          <w:sz w:val="30"/>
          <w:szCs w:val="30"/>
        </w:rPr>
        <mc:AlternateContent>
          <mc:Choice Requires="wps">
            <w:drawing>
              <wp:inline distT="0" distB="0" distL="114300" distR="114300">
                <wp:extent cx="5210175" cy="438150"/>
                <wp:effectExtent l="0" t="0" r="9525" b="0"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4381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3"/>
                              <w:ind w:left="1"/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i/>
                                <w:color w:val="FFFFFF"/>
                                <w:w w:val="9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i/>
                                <w:color w:val="FFFFFF"/>
                                <w:w w:val="96"/>
                                <w:sz w:val="36"/>
                                <w:szCs w:val="36"/>
                              </w:rPr>
                              <w:t>市场回顾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/>
                                <w:color w:val="FFFFFF"/>
                                <w:w w:val="96"/>
                                <w:sz w:val="36"/>
                                <w:szCs w:val="36"/>
                              </w:rPr>
                              <w:t>及宏观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4" o:spid="_x0000_s1026" o:spt="202" type="#_x0000_t202" style="height:34.5pt;width:410.25pt;" fillcolor="#7E7E7E" filled="t" stroked="f" coordsize="21600,21600" o:gfxdata="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dGEs29UAAAAEAQAADwAAAAAAAAABACAAAAAiAAAAZHJzL2Rvd25yZXYueG1sUEsB&#10;AhQAFAAAAAgAh07iQHkZGAO/AQAAVgMAAA4AAAAAAAAAAQAgAAAAJAEAAGRycy9lMm9Eb2MueG1s&#10;UEsFBgAAAAAGAAYAWQEAAFU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83"/>
                        <w:ind w:left="1"/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i/>
                          <w:color w:val="FFFFFF"/>
                          <w:w w:val="96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i/>
                          <w:color w:val="FFFFFF"/>
                          <w:w w:val="96"/>
                          <w:sz w:val="36"/>
                          <w:szCs w:val="36"/>
                        </w:rPr>
                        <w:t>市场回顾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/>
                          <w:color w:val="FFFFFF"/>
                          <w:w w:val="96"/>
                          <w:sz w:val="36"/>
                          <w:szCs w:val="36"/>
                        </w:rPr>
                        <w:t>及宏观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480" w:lineRule="auto"/>
        <w:ind w:firstLine="602" w:firstLineChars="200"/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本月A股市场区间震荡，</w:t>
      </w:r>
      <w:r>
        <w:rPr>
          <w:rFonts w:asciiTheme="minorEastAsia" w:hAnsiTheme="minorEastAsia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整体上行</w:t>
      </w:r>
      <w:r>
        <w:rPr>
          <w:rFonts w:ascii="宋体" w:hAnsi="宋体" w:eastAsia="宋体"/>
          <w:b/>
          <w:bCs/>
          <w:sz w:val="30"/>
          <w:szCs w:val="30"/>
        </w:rPr>
        <w:t>。</w:t>
      </w:r>
      <w:r>
        <w:rPr>
          <w:rFonts w:hint="eastAsia" w:ascii="宋体" w:hAnsi="宋体" w:eastAsia="宋体"/>
          <w:sz w:val="30"/>
          <w:szCs w:val="30"/>
        </w:rPr>
        <w:t>截至3月29日</w:t>
      </w:r>
      <w:r>
        <w:rPr>
          <w:rFonts w:ascii="宋体" w:hAnsi="宋体" w:eastAsia="宋体"/>
          <w:sz w:val="30"/>
          <w:szCs w:val="30"/>
        </w:rPr>
        <w:t>收盘，上证指数</w:t>
      </w:r>
      <w:r>
        <w:rPr>
          <w:rFonts w:hint="eastAsia" w:ascii="宋体" w:hAnsi="宋体" w:eastAsia="宋体"/>
          <w:sz w:val="30"/>
          <w:szCs w:val="30"/>
        </w:rPr>
        <w:t>收报</w:t>
      </w:r>
      <w:r>
        <w:rPr>
          <w:rFonts w:ascii="宋体" w:hAnsi="宋体" w:eastAsia="宋体"/>
          <w:sz w:val="30"/>
          <w:szCs w:val="30"/>
        </w:rPr>
        <w:t>3090.76</w:t>
      </w:r>
      <w:r>
        <w:rPr>
          <w:rFonts w:hint="eastAsia" w:ascii="宋体" w:hAnsi="宋体" w:eastAsia="宋体"/>
          <w:sz w:val="30"/>
          <w:szCs w:val="30"/>
        </w:rPr>
        <w:t>点</w:t>
      </w:r>
      <w:r>
        <w:rPr>
          <w:rFonts w:ascii="宋体" w:hAnsi="宋体" w:eastAsia="宋体"/>
          <w:sz w:val="30"/>
          <w:szCs w:val="30"/>
        </w:rPr>
        <w:t>，</w:t>
      </w:r>
      <w:r>
        <w:rPr>
          <w:rFonts w:hint="eastAsia" w:ascii="宋体" w:hAnsi="宋体" w:eastAsia="宋体"/>
          <w:sz w:val="30"/>
          <w:szCs w:val="30"/>
        </w:rPr>
        <w:t>涨幅为</w:t>
      </w:r>
      <w:r>
        <w:rPr>
          <w:rFonts w:ascii="宋体" w:hAnsi="宋体" w:eastAsia="宋体"/>
          <w:sz w:val="30"/>
          <w:szCs w:val="30"/>
        </w:rPr>
        <w:t>3.20%，</w:t>
      </w:r>
      <w:r>
        <w:rPr>
          <w:rFonts w:hint="eastAsia" w:ascii="宋体" w:hAnsi="宋体" w:eastAsia="宋体"/>
          <w:sz w:val="30"/>
          <w:szCs w:val="30"/>
        </w:rPr>
        <w:t>中</w:t>
      </w:r>
      <w:r>
        <w:rPr>
          <w:rFonts w:ascii="宋体" w:hAnsi="宋体" w:eastAsia="宋体"/>
          <w:sz w:val="30"/>
          <w:szCs w:val="30"/>
        </w:rPr>
        <w:t>小</w:t>
      </w:r>
      <w:r>
        <w:rPr>
          <w:rFonts w:hint="eastAsia" w:ascii="宋体" w:hAnsi="宋体" w:eastAsia="宋体"/>
          <w:sz w:val="30"/>
          <w:szCs w:val="30"/>
        </w:rPr>
        <w:t>板</w:t>
      </w:r>
      <w:r>
        <w:rPr>
          <w:rFonts w:ascii="宋体" w:hAnsi="宋体" w:eastAsia="宋体"/>
          <w:sz w:val="30"/>
          <w:szCs w:val="30"/>
        </w:rPr>
        <w:t>指</w:t>
      </w:r>
      <w:r>
        <w:rPr>
          <w:rFonts w:hint="eastAsia" w:ascii="宋体" w:hAnsi="宋体" w:eastAsia="宋体"/>
          <w:sz w:val="30"/>
          <w:szCs w:val="30"/>
        </w:rPr>
        <w:t>收</w:t>
      </w:r>
      <w:r>
        <w:rPr>
          <w:rFonts w:ascii="宋体" w:hAnsi="宋体" w:eastAsia="宋体"/>
          <w:sz w:val="30"/>
          <w:szCs w:val="30"/>
        </w:rPr>
        <w:t>报</w:t>
      </w:r>
      <w:r>
        <w:rPr>
          <w:rFonts w:hint="eastAsia" w:ascii="宋体" w:hAnsi="宋体" w:eastAsia="宋体"/>
          <w:sz w:val="30"/>
          <w:szCs w:val="30"/>
        </w:rPr>
        <w:t>6</w:t>
      </w:r>
      <w:r>
        <w:rPr>
          <w:rFonts w:ascii="宋体" w:hAnsi="宋体" w:eastAsia="宋体"/>
          <w:sz w:val="30"/>
          <w:szCs w:val="30"/>
        </w:rPr>
        <w:t>379.98</w:t>
      </w:r>
      <w:r>
        <w:rPr>
          <w:rFonts w:hint="eastAsia" w:ascii="宋体" w:hAnsi="宋体" w:eastAsia="宋体"/>
          <w:sz w:val="30"/>
          <w:szCs w:val="30"/>
        </w:rPr>
        <w:t>点</w:t>
      </w:r>
      <w:r>
        <w:rPr>
          <w:rFonts w:ascii="宋体" w:hAnsi="宋体" w:eastAsia="宋体"/>
          <w:sz w:val="30"/>
          <w:szCs w:val="30"/>
        </w:rPr>
        <w:t>，</w:t>
      </w:r>
      <w:r>
        <w:rPr>
          <w:rFonts w:hint="eastAsia" w:ascii="宋体" w:hAnsi="宋体" w:eastAsia="宋体"/>
          <w:sz w:val="30"/>
          <w:szCs w:val="30"/>
        </w:rPr>
        <w:t>涨幅为</w:t>
      </w:r>
      <w:r>
        <w:rPr>
          <w:rFonts w:ascii="宋体" w:hAnsi="宋体" w:eastAsia="宋体"/>
          <w:sz w:val="30"/>
          <w:szCs w:val="30"/>
        </w:rPr>
        <w:t>3.95%</w:t>
      </w:r>
      <w:r>
        <w:rPr>
          <w:rFonts w:hint="eastAsia" w:ascii="宋体" w:hAnsi="宋体" w:eastAsia="宋体"/>
          <w:sz w:val="30"/>
          <w:szCs w:val="30"/>
        </w:rPr>
        <w:t>，</w:t>
      </w:r>
      <w:r>
        <w:rPr>
          <w:rFonts w:ascii="宋体" w:hAnsi="宋体" w:eastAsia="宋体"/>
          <w:sz w:val="30"/>
          <w:szCs w:val="30"/>
        </w:rPr>
        <w:t>创业板指</w:t>
      </w:r>
      <w:r>
        <w:rPr>
          <w:rFonts w:hint="eastAsia" w:ascii="宋体" w:hAnsi="宋体" w:eastAsia="宋体"/>
          <w:sz w:val="30"/>
          <w:szCs w:val="30"/>
        </w:rPr>
        <w:t>收</w:t>
      </w:r>
      <w:r>
        <w:rPr>
          <w:rFonts w:ascii="宋体" w:hAnsi="宋体" w:eastAsia="宋体"/>
          <w:sz w:val="30"/>
          <w:szCs w:val="30"/>
        </w:rPr>
        <w:t>报</w:t>
      </w:r>
      <w:r>
        <w:rPr>
          <w:rFonts w:hint="eastAsia" w:ascii="宋体" w:hAnsi="宋体" w:eastAsia="宋体"/>
          <w:sz w:val="30"/>
          <w:szCs w:val="30"/>
        </w:rPr>
        <w:t>16</w:t>
      </w:r>
      <w:r>
        <w:rPr>
          <w:rFonts w:ascii="宋体" w:hAnsi="宋体" w:eastAsia="宋体"/>
          <w:sz w:val="30"/>
          <w:szCs w:val="30"/>
        </w:rPr>
        <w:t>93.55</w:t>
      </w:r>
      <w:r>
        <w:rPr>
          <w:rFonts w:hint="eastAsia" w:ascii="宋体" w:hAnsi="宋体" w:eastAsia="宋体"/>
          <w:sz w:val="30"/>
          <w:szCs w:val="30"/>
        </w:rPr>
        <w:t>点</w:t>
      </w:r>
      <w:r>
        <w:rPr>
          <w:rFonts w:ascii="宋体" w:hAnsi="宋体" w:eastAsia="宋体"/>
          <w:sz w:val="30"/>
          <w:szCs w:val="30"/>
        </w:rPr>
        <w:t>，</w:t>
      </w:r>
      <w:r>
        <w:rPr>
          <w:rFonts w:hint="eastAsia" w:ascii="宋体" w:hAnsi="宋体" w:eastAsia="宋体"/>
          <w:sz w:val="30"/>
          <w:szCs w:val="30"/>
        </w:rPr>
        <w:t>涨幅为</w:t>
      </w:r>
      <w:r>
        <w:rPr>
          <w:rFonts w:ascii="宋体" w:hAnsi="宋体" w:eastAsia="宋体"/>
          <w:sz w:val="30"/>
          <w:szCs w:val="30"/>
        </w:rPr>
        <w:t>4.10%。</w:t>
      </w:r>
    </w:p>
    <w:p>
      <w:pPr>
        <w:spacing w:line="480" w:lineRule="auto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图1：A股</w:t>
      </w:r>
      <w:r>
        <w:rPr>
          <w:rFonts w:ascii="宋体" w:hAnsi="宋体" w:eastAsia="宋体"/>
          <w:sz w:val="30"/>
          <w:szCs w:val="30"/>
        </w:rPr>
        <w:t>市场</w:t>
      </w:r>
      <w:r>
        <w:rPr>
          <w:rFonts w:hint="eastAsia" w:ascii="宋体" w:hAnsi="宋体" w:eastAsia="宋体"/>
          <w:sz w:val="30"/>
          <w:szCs w:val="30"/>
        </w:rPr>
        <w:t>本月</w:t>
      </w:r>
      <w:r>
        <w:rPr>
          <w:rFonts w:ascii="宋体" w:hAnsi="宋体" w:eastAsia="宋体"/>
          <w:sz w:val="30"/>
          <w:szCs w:val="30"/>
        </w:rPr>
        <w:t>总体表现</w:t>
      </w:r>
    </w:p>
    <w:tbl>
      <w:tblPr>
        <w:tblStyle w:val="17"/>
        <w:tblW w:w="8500" w:type="dxa"/>
        <w:jc w:val="center"/>
        <w:tblInd w:w="0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664"/>
        <w:gridCol w:w="2410"/>
        <w:gridCol w:w="2830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96" w:type="dxa"/>
            <w:tcBorders>
              <w:top w:val="single" w:color="auto" w:sz="4" w:space="0"/>
            </w:tcBorders>
            <w:shd w:val="clear" w:color="000000" w:fill="FF6600"/>
            <w:noWrap/>
            <w:vAlign w:val="bottom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sz w:val="30"/>
                <w:szCs w:val="30"/>
              </w:rPr>
              <w:t>指数</w:t>
            </w:r>
          </w:p>
        </w:tc>
        <w:tc>
          <w:tcPr>
            <w:tcW w:w="1664" w:type="dxa"/>
            <w:tcBorders>
              <w:top w:val="single" w:color="auto" w:sz="4" w:space="0"/>
            </w:tcBorders>
            <w:shd w:val="clear" w:color="000000" w:fill="FF6600"/>
            <w:noWrap/>
            <w:vAlign w:val="bottom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sz w:val="30"/>
                <w:szCs w:val="30"/>
              </w:rPr>
              <w:t>收盘价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shd w:val="clear" w:color="000000" w:fill="FF6600"/>
            <w:noWrap/>
            <w:vAlign w:val="bottom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sz w:val="30"/>
                <w:szCs w:val="30"/>
              </w:rPr>
              <w:t>本月涨幅(%)</w:t>
            </w:r>
          </w:p>
        </w:tc>
        <w:tc>
          <w:tcPr>
            <w:tcW w:w="2830" w:type="dxa"/>
            <w:tcBorders>
              <w:top w:val="single" w:color="auto" w:sz="4" w:space="0"/>
            </w:tcBorders>
            <w:shd w:val="clear" w:color="000000" w:fill="FF6600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sz w:val="30"/>
                <w:szCs w:val="30"/>
              </w:rPr>
              <w:t>今年</w:t>
            </w:r>
            <w:r>
              <w:rPr>
                <w:rFonts w:cs="宋体" w:asciiTheme="minorEastAsia" w:hAnsiTheme="minorEastAsia"/>
                <w:color w:val="000000"/>
                <w:sz w:val="30"/>
                <w:szCs w:val="30"/>
              </w:rPr>
              <w:t>以来涨幅</w:t>
            </w:r>
            <w:r>
              <w:rPr>
                <w:rFonts w:hint="eastAsia" w:cs="宋体" w:asciiTheme="minorEastAsia" w:hAnsiTheme="minorEastAsia"/>
                <w:color w:val="000000"/>
                <w:sz w:val="30"/>
                <w:szCs w:val="30"/>
              </w:rPr>
              <w:t>（%）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96" w:type="dxa"/>
            <w:tcBorders>
              <w:top w:val="single" w:color="auto" w:sz="4" w:space="0"/>
            </w:tcBorders>
            <w:shd w:val="clear" w:color="000000" w:fill="FCD5B4"/>
            <w:noWrap/>
            <w:vAlign w:val="bottom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sz w:val="30"/>
                <w:szCs w:val="30"/>
              </w:rPr>
              <w:t>上证指数</w:t>
            </w:r>
          </w:p>
        </w:tc>
        <w:tc>
          <w:tcPr>
            <w:tcW w:w="1664" w:type="dxa"/>
            <w:tcBorders>
              <w:top w:val="single" w:color="auto" w:sz="4" w:space="0"/>
            </w:tcBorders>
            <w:shd w:val="clear" w:color="000000" w:fill="FCD5B4"/>
            <w:noWrap/>
            <w:vAlign w:val="bottom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000000"/>
                <w:sz w:val="30"/>
                <w:szCs w:val="30"/>
              </w:rPr>
              <w:t>3090.76</w:t>
            </w:r>
          </w:p>
        </w:tc>
        <w:tc>
          <w:tcPr>
            <w:tcW w:w="2410" w:type="dxa"/>
            <w:shd w:val="clear" w:color="000000" w:fill="FCD5B4"/>
            <w:noWrap/>
            <w:vAlign w:val="bottom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000000"/>
                <w:sz w:val="30"/>
                <w:szCs w:val="30"/>
              </w:rPr>
              <w:t>5.09</w:t>
            </w:r>
          </w:p>
        </w:tc>
        <w:tc>
          <w:tcPr>
            <w:tcW w:w="2830" w:type="dxa"/>
            <w:shd w:val="clear" w:color="000000" w:fill="FCD5B4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000000"/>
                <w:sz w:val="30"/>
                <w:szCs w:val="30"/>
              </w:rPr>
              <w:t>23.93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96" w:type="dxa"/>
            <w:tcBorders>
              <w:top w:val="single" w:color="auto" w:sz="4" w:space="0"/>
            </w:tcBorders>
            <w:shd w:val="clear" w:color="000000" w:fill="FCD5B4"/>
            <w:noWrap/>
            <w:vAlign w:val="bottom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sz w:val="30"/>
                <w:szCs w:val="30"/>
              </w:rPr>
              <w:t>中小板指</w:t>
            </w:r>
          </w:p>
        </w:tc>
        <w:tc>
          <w:tcPr>
            <w:tcW w:w="1664" w:type="dxa"/>
            <w:tcBorders>
              <w:top w:val="single" w:color="auto" w:sz="4" w:space="0"/>
            </w:tcBorders>
            <w:shd w:val="clear" w:color="000000" w:fill="FCD5B4"/>
            <w:noWrap/>
            <w:vAlign w:val="bottom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000000"/>
                <w:sz w:val="30"/>
                <w:szCs w:val="30"/>
              </w:rPr>
              <w:t>6379.98</w:t>
            </w:r>
          </w:p>
        </w:tc>
        <w:tc>
          <w:tcPr>
            <w:tcW w:w="2410" w:type="dxa"/>
            <w:shd w:val="clear" w:color="000000" w:fill="FCD5B4"/>
            <w:noWrap/>
            <w:vAlign w:val="bottom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000000"/>
                <w:sz w:val="30"/>
                <w:szCs w:val="30"/>
              </w:rPr>
              <w:t>8.25</w:t>
            </w:r>
          </w:p>
        </w:tc>
        <w:tc>
          <w:tcPr>
            <w:tcW w:w="2830" w:type="dxa"/>
            <w:shd w:val="clear" w:color="000000" w:fill="FCD5B4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000000"/>
                <w:sz w:val="30"/>
                <w:szCs w:val="30"/>
              </w:rPr>
              <w:t>35.66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96" w:type="dxa"/>
            <w:tcBorders>
              <w:top w:val="single" w:color="auto" w:sz="4" w:space="0"/>
            </w:tcBorders>
            <w:shd w:val="clear" w:color="000000" w:fill="FCD5B4"/>
            <w:noWrap/>
            <w:vAlign w:val="bottom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sz w:val="30"/>
                <w:szCs w:val="30"/>
              </w:rPr>
              <w:t>创业板指</w:t>
            </w:r>
          </w:p>
        </w:tc>
        <w:tc>
          <w:tcPr>
            <w:tcW w:w="1664" w:type="dxa"/>
            <w:tcBorders>
              <w:top w:val="single" w:color="auto" w:sz="4" w:space="0"/>
            </w:tcBorders>
            <w:shd w:val="clear" w:color="000000" w:fill="FCD5B4"/>
            <w:noWrap/>
            <w:vAlign w:val="bottom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000000"/>
                <w:sz w:val="30"/>
                <w:szCs w:val="30"/>
              </w:rPr>
              <w:t>1693.55</w:t>
            </w:r>
          </w:p>
        </w:tc>
        <w:tc>
          <w:tcPr>
            <w:tcW w:w="2410" w:type="dxa"/>
            <w:shd w:val="clear" w:color="000000" w:fill="FCD5B4"/>
            <w:noWrap/>
            <w:vAlign w:val="bottom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000000"/>
                <w:sz w:val="30"/>
                <w:szCs w:val="30"/>
              </w:rPr>
              <w:t>10.28</w:t>
            </w:r>
          </w:p>
        </w:tc>
        <w:tc>
          <w:tcPr>
            <w:tcW w:w="2830" w:type="dxa"/>
            <w:shd w:val="clear" w:color="000000" w:fill="FCD5B4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000000"/>
                <w:sz w:val="30"/>
                <w:szCs w:val="30"/>
              </w:rPr>
              <w:t>35.43</w:t>
            </w:r>
          </w:p>
        </w:tc>
      </w:tr>
    </w:tbl>
    <w:p>
      <w:pPr>
        <w:spacing w:line="480" w:lineRule="auto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细分到申万一级行业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上，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本月所有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板块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涨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多跌少，其中涨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幅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居前的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板块主要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轻工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制造、农林牧渔、计算机、综合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等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；其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涨幅分别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是15.70%，13.45%，12.65%，12.18%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，跌幅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较深的板块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是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银行、采掘、钢铁、非银金融，其跌幅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分别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-3.26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%、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-2.90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%、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-1.53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%、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-0.52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具体如图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所示：</w:t>
      </w:r>
    </w:p>
    <w:p>
      <w:pPr>
        <w:spacing w:line="480" w:lineRule="auto"/>
        <w:ind w:firstLine="600" w:firstLineChars="200"/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图2：本月A股市场申万一级行业表现</w:t>
      </w:r>
    </w:p>
    <w:p>
      <w:pPr>
        <w:spacing w:line="480" w:lineRule="auto"/>
        <w:ind w:firstLine="480" w:firstLineChars="200"/>
        <w:jc w:val="center"/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572000" cy="2200275"/>
            <wp:effectExtent l="0" t="0" r="0" b="952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>
      <w:pPr>
        <w:spacing w:line="480" w:lineRule="auto"/>
        <w:ind w:firstLine="600" w:firstLineChars="200"/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宏观数据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方面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,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1-2月份规模以上工业增加值同比实际增长5.3%。从环比看，2月份规模以上工业增加值比上月增长0.43%。1-2月份社会消费品零售总额66064亿元，同比名义增长8.2%。1-2月份全国房地产开发投资12090亿元，同比增长11.6%。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可以看出，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工业部门增速在持续下滑，消费增速基本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与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去年年底的最低水平持平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而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固定资产投资中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的房地产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跟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去年四季度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相比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进一步下降。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但总体来说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当前经济运行还是比较平稳的，稳中有进，多数行业和产品保持增长态势，新动能和消费品制造业增长也较快。</w:t>
      </w:r>
    </w:p>
    <w:p>
      <w:pPr>
        <w:shd w:val="clear" w:color="auto" w:fill="FFFFFF"/>
        <w:spacing w:before="225" w:after="225" w:line="480" w:lineRule="auto"/>
        <w:ind w:firstLine="600" w:firstLineChars="200"/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消息面上，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国务院总理李克强28日在博鳌亚洲论坛演讲时表示，我们对所承诺的更大规模减税降费等措施一定要兑现。减税降费是公平普惠、直接有效的改革举措，是今年激发市场主体活力、应对经济下行压力的重要举措</w:t>
      </w:r>
      <w:r>
        <w:rPr>
          <w:rFonts w:hint="eastAsia"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中国将持续扩大金融业对外开放。银行、证券和保险业对外资全面放开市场准入正在加快推进，外资银行业务范围大幅扩大，对外资证券公司和保险经纪公司业务范围不再单独设限，征信、信用评级服务、银行卡清算和非银行支付的准入限制大幅放宽。我们将进一步便利外商投资企业举办创业投资、设立投资性公司，完善外国投资者对上市公司战略投资、并购境内企业的相关规定。推进债券市场对外开放，完善相关政策，为境外投资者投资和交易中国债券创造更便利的条件。</w:t>
      </w:r>
    </w:p>
    <w:p>
      <w:pPr>
        <w:spacing w:line="480" w:lineRule="auto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/>
          <w:position w:val="-13"/>
          <w:sz w:val="30"/>
          <w:szCs w:val="30"/>
        </w:rPr>
        <mc:AlternateContent>
          <mc:Choice Requires="wps">
            <w:drawing>
              <wp:inline distT="0" distB="0" distL="114300" distR="114300">
                <wp:extent cx="5219700" cy="438150"/>
                <wp:effectExtent l="0" t="0" r="0" b="0"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4381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3"/>
                              <w:ind w:left="1"/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i/>
                                <w:color w:val="FFFFFF"/>
                                <w:w w:val="9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/>
                                <w:color w:val="FFFFFF"/>
                                <w:w w:val="96"/>
                                <w:sz w:val="36"/>
                                <w:szCs w:val="36"/>
                              </w:rPr>
                              <w:t>下阶段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i/>
                                <w:color w:val="FFFFFF"/>
                                <w:w w:val="96"/>
                                <w:sz w:val="36"/>
                                <w:szCs w:val="36"/>
                              </w:rPr>
                              <w:t>操作思路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4" o:spid="_x0000_s1026" o:spt="202" type="#_x0000_t202" style="height:34.5pt;width:411pt;" fillcolor="#7E7E7E" filled="t" stroked="f" coordsize="21600,21600" o:gfxdata="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K64rX1AAAAAQBAAAPAAAAAAAAAAEAIAAAACIAAABkcnMvZG93bnJldi54bWxQSwEC&#10;FAAUAAAACACHTuJAqksVUb8BAABWAwAADgAAAAAAAAABACAAAAAjAQAAZHJzL2Uyb0RvYy54bWxQ&#10;SwUGAAAAAAYABgBZAQAAV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83"/>
                        <w:ind w:left="1"/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i/>
                          <w:color w:val="FFFFFF"/>
                          <w:w w:val="96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/>
                          <w:color w:val="FFFFFF"/>
                          <w:w w:val="96"/>
                          <w:sz w:val="36"/>
                          <w:szCs w:val="36"/>
                        </w:rPr>
                        <w:t>下阶段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i/>
                          <w:color w:val="FFFFFF"/>
                          <w:w w:val="96"/>
                          <w:sz w:val="36"/>
                          <w:szCs w:val="36"/>
                        </w:rPr>
                        <w:t>操作思路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15"/>
        <w:shd w:val="clear" w:color="auto" w:fill="FFFFFF"/>
        <w:spacing w:line="480" w:lineRule="auto"/>
        <w:ind w:firstLine="480"/>
        <w:rPr>
          <w:rFonts w:asciiTheme="minorEastAsia" w:hAnsiTheme="minorEastAsia" w:eastAsiaTheme="minorEastAsia" w:cstheme="minorBidi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本月市场围绕3000—3100点区间震荡。自从年初上证指数创出新低2440.91点后，因政策回暖，投资者的风险偏好快速提升，市场赚钱效应扩散，连续反弹至今演绎了一波春季躁动行情。年初以来市场反弹近2个月, 本月市场开始反复震荡，期间板块轮动较快，月底白马股表现强劲，重现券商涨停潮，市场人气活跃。展望后市，我们认为随着上市公司的年报和一季报陆续公布，在业绩的“去伪存真”下，后续市场大概率将呈现分化行情。接下来，随着解禁高峰期到来的减持压力逐步增大，以及大盘连续上涨使得获利盘、解套盘压力较大，外围市场如美债收益率倒挂或致美股进入震荡调整期，诸多因素使得A股反复震荡的概率较大，但震荡下行的空间也有限。虽然当前宏观经济下行压力犹在，但领导层实施积极的财政政策用以对冲经济下行压力的决心未变；另外，科创板推进进程的加速，也在一定程度上激发了市场活力；随着外资等各类机构资金不断进入A股市场，A股投资者的结构将进一步优化，A股市场有望走出从估值修复到未来的慢牛、长牛行情。</w:t>
      </w:r>
    </w:p>
    <w:p>
      <w:pPr>
        <w:pStyle w:val="15"/>
        <w:shd w:val="clear" w:color="auto" w:fill="FFFFFF"/>
        <w:spacing w:line="480" w:lineRule="auto"/>
        <w:ind w:firstLine="480"/>
        <w:rPr>
          <w:rFonts w:asciiTheme="minorEastAsia" w:hAnsiTheme="minorEastAsia" w:eastAsiaTheme="minorEastAsia" w:cstheme="minorBidi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近期我们基金产品采取灵活操作策略，保持总体仓位稳定的同时进行灵活波段操作，在反复震荡的行情中，产品净值稳步回升。当然，我们仍然继续坚持优中选优的投资理念，选取优质龙头企业进行投资，在防范与控制风险的同时，力求产品净值的稳健上升。请投资者一如既往放心地将资产交给我们，长期我们一定会给广大投资者带来稳健优良的投资回报！</w:t>
      </w:r>
    </w:p>
    <w:p>
      <w:pPr>
        <w:pStyle w:val="15"/>
        <w:shd w:val="clear" w:color="auto" w:fill="FFFFFF"/>
        <w:spacing w:before="0" w:beforeAutospacing="0" w:after="0" w:afterAutospacing="0" w:line="480" w:lineRule="auto"/>
        <w:ind w:firstLine="480"/>
        <w:rPr>
          <w:rFonts w:asciiTheme="minorEastAsia" w:hAnsiTheme="minorEastAsia" w:eastAsiaTheme="minorEastAsia" w:cstheme="minorBidi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15"/>
        <w:shd w:val="clear" w:color="auto" w:fill="FFFFFF"/>
        <w:spacing w:before="0" w:beforeAutospacing="0" w:after="0" w:afterAutospacing="0" w:line="480" w:lineRule="auto"/>
        <w:rPr>
          <w:rFonts w:asciiTheme="minorEastAsia" w:hAnsiTheme="minorEastAsia" w:eastAsiaTheme="minorEastAsia" w:cstheme="minorBidi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422" w:firstLineChars="200"/>
        <w:rPr>
          <w:rFonts w:asciiTheme="minorEastAsia" w:hAnsiTheme="minorEastAsia"/>
          <w:b/>
          <w:sz w:val="21"/>
          <w:szCs w:val="21"/>
        </w:rPr>
      </w:pPr>
      <w:r>
        <w:rPr>
          <w:rFonts w:hint="eastAsia" w:ascii="MS Mincho" w:hAnsi="MS Mincho" w:eastAsia="MS Mincho" w:cs="MS Mincho"/>
          <w:b/>
          <w:sz w:val="21"/>
          <w:szCs w:val="21"/>
        </w:rPr>
        <w:t>➢</w:t>
      </w:r>
      <w:r>
        <w:rPr>
          <w:rFonts w:asciiTheme="minorEastAsia" w:hAnsiTheme="minorEastAsia"/>
          <w:b/>
          <w:sz w:val="21"/>
          <w:szCs w:val="21"/>
        </w:rPr>
        <w:tab/>
      </w:r>
      <w:r>
        <w:rPr>
          <w:rFonts w:asciiTheme="minorEastAsia" w:hAnsiTheme="minorEastAsia"/>
          <w:b/>
          <w:sz w:val="21"/>
          <w:szCs w:val="21"/>
        </w:rPr>
        <w:t>风险提示及免责声明：</w:t>
      </w:r>
    </w:p>
    <w:p>
      <w:pPr>
        <w:spacing w:line="480" w:lineRule="auto"/>
        <w:ind w:firstLine="422" w:firstLineChars="200"/>
        <w:rPr>
          <w:rFonts w:asciiTheme="minorEastAsia" w:hAnsiTheme="minorEastAsia"/>
          <w:b/>
          <w:sz w:val="21"/>
          <w:szCs w:val="21"/>
        </w:rPr>
      </w:pPr>
      <w:r>
        <w:rPr>
          <w:rFonts w:asciiTheme="minorEastAsia" w:hAnsiTheme="minorEastAsia"/>
          <w:b/>
          <w:sz w:val="21"/>
          <w:szCs w:val="21"/>
        </w:rPr>
        <w:t>本报告由上海朴石投资管理合伙企业</w:t>
      </w:r>
      <w:r>
        <w:rPr>
          <w:rFonts w:hint="eastAsia" w:asciiTheme="minorEastAsia" w:hAnsiTheme="minorEastAsia"/>
          <w:b/>
          <w:sz w:val="21"/>
          <w:szCs w:val="21"/>
        </w:rPr>
        <w:t>（有限</w:t>
      </w:r>
      <w:r>
        <w:rPr>
          <w:rFonts w:asciiTheme="minorEastAsia" w:hAnsiTheme="minorEastAsia"/>
          <w:b/>
          <w:sz w:val="21"/>
          <w:szCs w:val="21"/>
        </w:rPr>
        <w:t>合伙</w:t>
      </w:r>
      <w:r>
        <w:rPr>
          <w:rFonts w:hint="eastAsia" w:asciiTheme="minorEastAsia" w:hAnsiTheme="minorEastAsia"/>
          <w:b/>
          <w:sz w:val="21"/>
          <w:szCs w:val="21"/>
        </w:rPr>
        <w:t>）</w:t>
      </w:r>
      <w:r>
        <w:rPr>
          <w:rFonts w:asciiTheme="minorEastAsia" w:hAnsiTheme="minorEastAsia"/>
          <w:b/>
          <w:sz w:val="21"/>
          <w:szCs w:val="21"/>
        </w:rPr>
        <w:t>编写，</w:t>
      </w:r>
      <w:r>
        <w:rPr>
          <w:rFonts w:hint="eastAsia" w:asciiTheme="minorEastAsia" w:hAnsiTheme="minorEastAsia"/>
          <w:b/>
          <w:sz w:val="21"/>
          <w:szCs w:val="21"/>
        </w:rPr>
        <w:t>以下</w:t>
      </w:r>
      <w:r>
        <w:rPr>
          <w:rFonts w:asciiTheme="minorEastAsia" w:hAnsiTheme="minorEastAsia"/>
          <w:b/>
          <w:sz w:val="21"/>
          <w:szCs w:val="21"/>
        </w:rPr>
        <w:t>简称 “</w:t>
      </w:r>
      <w:r>
        <w:rPr>
          <w:rFonts w:hint="eastAsia" w:asciiTheme="minorEastAsia" w:hAnsiTheme="minorEastAsia"/>
          <w:b/>
          <w:sz w:val="21"/>
          <w:szCs w:val="21"/>
        </w:rPr>
        <w:t>本</w:t>
      </w:r>
      <w:r>
        <w:rPr>
          <w:rFonts w:asciiTheme="minorEastAsia" w:hAnsiTheme="minorEastAsia"/>
          <w:b/>
          <w:sz w:val="21"/>
          <w:szCs w:val="21"/>
        </w:rPr>
        <w:t>公司”</w:t>
      </w:r>
      <w:r>
        <w:rPr>
          <w:rFonts w:hint="eastAsia" w:asciiTheme="minorEastAsia" w:hAnsiTheme="minorEastAsia"/>
          <w:b/>
          <w:sz w:val="21"/>
          <w:szCs w:val="21"/>
        </w:rPr>
        <w:t>。</w:t>
      </w:r>
      <w:r>
        <w:rPr>
          <w:rFonts w:asciiTheme="minorEastAsia" w:hAnsiTheme="minorEastAsia"/>
          <w:b/>
          <w:sz w:val="21"/>
          <w:szCs w:val="21"/>
        </w:rPr>
        <w:t>未经</w:t>
      </w:r>
      <w:r>
        <w:rPr>
          <w:rFonts w:hint="eastAsia" w:asciiTheme="minorEastAsia" w:hAnsiTheme="minorEastAsia"/>
          <w:b/>
          <w:sz w:val="21"/>
          <w:szCs w:val="21"/>
        </w:rPr>
        <w:t>本公司</w:t>
      </w:r>
      <w:r>
        <w:rPr>
          <w:rFonts w:asciiTheme="minorEastAsia" w:hAnsiTheme="minorEastAsia"/>
          <w:b/>
          <w:sz w:val="21"/>
          <w:szCs w:val="21"/>
        </w:rPr>
        <w:t>授权，任何机构和个人不得以任何形式翻版、复印和发布。本报告的信息均来源于公开资料，</w:t>
      </w:r>
      <w:r>
        <w:rPr>
          <w:rFonts w:hint="eastAsia" w:asciiTheme="minorEastAsia" w:hAnsiTheme="minorEastAsia"/>
          <w:b/>
          <w:sz w:val="21"/>
          <w:szCs w:val="21"/>
        </w:rPr>
        <w:t>本</w:t>
      </w:r>
      <w:r>
        <w:rPr>
          <w:rFonts w:asciiTheme="minorEastAsia" w:hAnsiTheme="minorEastAsia"/>
          <w:b/>
          <w:sz w:val="21"/>
          <w:szCs w:val="21"/>
        </w:rPr>
        <w:t>公司对这些信息的准确性及完整性不作任何保证。因使用本报告或其内容而导致的任何直接或间接损失，</w:t>
      </w:r>
      <w:r>
        <w:rPr>
          <w:rFonts w:hint="eastAsia" w:asciiTheme="minorEastAsia" w:hAnsiTheme="minorEastAsia"/>
          <w:b/>
          <w:sz w:val="21"/>
          <w:szCs w:val="21"/>
        </w:rPr>
        <w:t>本</w:t>
      </w:r>
      <w:r>
        <w:rPr>
          <w:rFonts w:asciiTheme="minorEastAsia" w:hAnsiTheme="minorEastAsia"/>
          <w:b/>
          <w:sz w:val="21"/>
          <w:szCs w:val="21"/>
        </w:rPr>
        <w:t>公司不承担任何责任。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1168400</wp:posOffset>
              </wp:positionH>
              <wp:positionV relativeFrom="page">
                <wp:posOffset>10156825</wp:posOffset>
              </wp:positionV>
              <wp:extent cx="1511300" cy="1397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30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9" w:lineRule="exact"/>
                            <w:ind w:left="20"/>
                            <w:rPr>
                              <w:rFonts w:ascii="Arial Unicode MS" w:hAnsi="Arial Unicode MS" w:eastAsia="Arial Unicode MS" w:cs="Arial Unicode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Unicode MS" w:hAnsi="Arial Unicode MS" w:eastAsia="Arial Unicode MS" w:cs="Arial Unicode MS"/>
                              <w:sz w:val="18"/>
                              <w:szCs w:val="18"/>
                            </w:rPr>
                            <w:t>敬请阅读报告结尾处免责声明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92pt;margin-top:799.75pt;height:11pt;width:119pt;mso-position-horizontal-relative:page;mso-position-vertical-relative:page;z-index:-251655168;mso-width-relative:page;mso-height-relative:page;" filled="f" stroked="f" coordsize="21600,21600" o:gfxdata="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CEzwM2QAAAA0BAAAP&#10;AAAAAAAAAAEAIAAAACIAAABkcnMvZG93bnJldi54bWxQSwECFAAUAAAACACHTuJAm6nGTKUBAAAt&#10;AwAADgAAAAAAAAABACAAAAAo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9" w:lineRule="exact"/>
                      <w:ind w:left="20"/>
                      <w:rPr>
                        <w:rFonts w:ascii="Arial Unicode MS" w:hAnsi="Arial Unicode MS" w:eastAsia="Arial Unicode MS" w:cs="Arial Unicode MS"/>
                        <w:sz w:val="18"/>
                        <w:szCs w:val="18"/>
                      </w:rPr>
                    </w:pPr>
                    <w:r>
                      <w:rPr>
                        <w:rFonts w:ascii="Arial Unicode MS" w:hAnsi="Arial Unicode MS" w:eastAsia="Arial Unicode MS" w:cs="Arial Unicode MS"/>
                        <w:sz w:val="18"/>
                        <w:szCs w:val="18"/>
                      </w:rPr>
                      <w:t>敬请阅读报告结尾处免责声明</w:t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6" w:space="18"/>
      </w:pBdr>
      <w:ind w:firstLine="280" w:firstLineChars="100"/>
      <w:jc w:val="lef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4133850</wp:posOffset>
          </wp:positionH>
          <wp:positionV relativeFrom="paragraph">
            <wp:posOffset>-47625</wp:posOffset>
          </wp:positionV>
          <wp:extent cx="1016000" cy="408305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Theme="minorEastAsia" w:hAnsiTheme="minorEastAsia"/>
        <w:sz w:val="28"/>
        <w:szCs w:val="28"/>
      </w:rPr>
      <w:t>投资</w:t>
    </w:r>
    <w:r>
      <w:rPr>
        <w:rFonts w:asciiTheme="minorEastAsia" w:hAnsiTheme="minorEastAsia"/>
        <w:sz w:val="28"/>
        <w:szCs w:val="28"/>
      </w:rPr>
      <w:t>策略月度报告（</w:t>
    </w:r>
    <w:r>
      <w:rPr>
        <w:rFonts w:hint="eastAsia" w:asciiTheme="minorEastAsia" w:hAnsiTheme="minorEastAsia"/>
        <w:sz w:val="28"/>
        <w:szCs w:val="28"/>
      </w:rPr>
      <w:t>2019年</w:t>
    </w:r>
    <w:r>
      <w:rPr>
        <w:rFonts w:asciiTheme="minorEastAsia" w:hAnsiTheme="minorEastAsia"/>
        <w:sz w:val="28"/>
        <w:szCs w:val="28"/>
      </w:rPr>
      <w:t>3</w:t>
    </w:r>
    <w:r>
      <w:rPr>
        <w:rFonts w:hint="eastAsia" w:asciiTheme="minorEastAsia" w:hAnsiTheme="minorEastAsia"/>
        <w:sz w:val="28"/>
        <w:szCs w:val="28"/>
      </w:rPr>
      <w:t>月</w:t>
    </w:r>
    <w:r>
      <w:rPr>
        <w:rFonts w:asciiTheme="minorEastAsia" w:hAnsiTheme="minorEastAsia"/>
        <w:sz w:val="28"/>
        <w:szCs w:val="28"/>
      </w:rPr>
      <w:t>29</w:t>
    </w:r>
    <w:r>
      <w:rPr>
        <w:rFonts w:hint="eastAsia" w:asciiTheme="minorEastAsia" w:hAnsiTheme="minorEastAsia"/>
        <w:sz w:val="28"/>
        <w:szCs w:val="28"/>
      </w:rPr>
      <w:t>日</w:t>
    </w:r>
    <w:r>
      <w:rPr>
        <w:rFonts w:asciiTheme="minorEastAsia" w:hAnsiTheme="minorEastAsia"/>
        <w:sz w:val="28"/>
        <w:szCs w:val="28"/>
      </w:rPr>
      <w:t>）</w:t>
    </w:r>
    <w:r>
      <w:rPr>
        <w:rFonts w:hint="eastAsia" w:asciiTheme="minorEastAsia" w:hAnsiTheme="minorEastAsia"/>
        <w:sz w:val="28"/>
        <w:szCs w:val="28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87"/>
    <w:rsid w:val="0001291D"/>
    <w:rsid w:val="00027154"/>
    <w:rsid w:val="00043201"/>
    <w:rsid w:val="000462C1"/>
    <w:rsid w:val="00051382"/>
    <w:rsid w:val="0005741C"/>
    <w:rsid w:val="00074475"/>
    <w:rsid w:val="00083E7B"/>
    <w:rsid w:val="000A721E"/>
    <w:rsid w:val="000B545F"/>
    <w:rsid w:val="000B5E34"/>
    <w:rsid w:val="000B6672"/>
    <w:rsid w:val="000C2F40"/>
    <w:rsid w:val="000D408F"/>
    <w:rsid w:val="000D4D99"/>
    <w:rsid w:val="000E125B"/>
    <w:rsid w:val="000E3204"/>
    <w:rsid w:val="000F1602"/>
    <w:rsid w:val="000F390D"/>
    <w:rsid w:val="000F7CE8"/>
    <w:rsid w:val="00106257"/>
    <w:rsid w:val="001070D0"/>
    <w:rsid w:val="00115821"/>
    <w:rsid w:val="0012144B"/>
    <w:rsid w:val="00123BE8"/>
    <w:rsid w:val="00125393"/>
    <w:rsid w:val="00127A42"/>
    <w:rsid w:val="00137018"/>
    <w:rsid w:val="001561CE"/>
    <w:rsid w:val="00160159"/>
    <w:rsid w:val="00160522"/>
    <w:rsid w:val="001618CC"/>
    <w:rsid w:val="001755EB"/>
    <w:rsid w:val="001911C0"/>
    <w:rsid w:val="001A1A4F"/>
    <w:rsid w:val="001A4497"/>
    <w:rsid w:val="001A5901"/>
    <w:rsid w:val="001C0853"/>
    <w:rsid w:val="001C4942"/>
    <w:rsid w:val="001C77A4"/>
    <w:rsid w:val="001D0547"/>
    <w:rsid w:val="001D29EA"/>
    <w:rsid w:val="001E0FC6"/>
    <w:rsid w:val="001F6F25"/>
    <w:rsid w:val="00204EEB"/>
    <w:rsid w:val="002148A7"/>
    <w:rsid w:val="00227417"/>
    <w:rsid w:val="0023071D"/>
    <w:rsid w:val="00235300"/>
    <w:rsid w:val="0027311D"/>
    <w:rsid w:val="002A5DDD"/>
    <w:rsid w:val="002B41E9"/>
    <w:rsid w:val="002C702B"/>
    <w:rsid w:val="002C7CDB"/>
    <w:rsid w:val="002D2DCB"/>
    <w:rsid w:val="002F4817"/>
    <w:rsid w:val="00300CA1"/>
    <w:rsid w:val="00301018"/>
    <w:rsid w:val="003019F1"/>
    <w:rsid w:val="0033128F"/>
    <w:rsid w:val="00343637"/>
    <w:rsid w:val="0034630F"/>
    <w:rsid w:val="00351E4B"/>
    <w:rsid w:val="003616DC"/>
    <w:rsid w:val="00364A97"/>
    <w:rsid w:val="0038164B"/>
    <w:rsid w:val="00382FFB"/>
    <w:rsid w:val="00387BF7"/>
    <w:rsid w:val="003A3FA1"/>
    <w:rsid w:val="003B546E"/>
    <w:rsid w:val="003D33AF"/>
    <w:rsid w:val="003D36A0"/>
    <w:rsid w:val="003D4E4D"/>
    <w:rsid w:val="00401AA3"/>
    <w:rsid w:val="00403230"/>
    <w:rsid w:val="00422522"/>
    <w:rsid w:val="0042648B"/>
    <w:rsid w:val="00436102"/>
    <w:rsid w:val="00436885"/>
    <w:rsid w:val="00452CA9"/>
    <w:rsid w:val="0046432C"/>
    <w:rsid w:val="00474D5A"/>
    <w:rsid w:val="00484DB1"/>
    <w:rsid w:val="00486586"/>
    <w:rsid w:val="004914A5"/>
    <w:rsid w:val="004931BC"/>
    <w:rsid w:val="004B0091"/>
    <w:rsid w:val="004C41BB"/>
    <w:rsid w:val="004E0ACD"/>
    <w:rsid w:val="004E46F0"/>
    <w:rsid w:val="004E63CF"/>
    <w:rsid w:val="004F5C25"/>
    <w:rsid w:val="00502329"/>
    <w:rsid w:val="0055614C"/>
    <w:rsid w:val="0056261D"/>
    <w:rsid w:val="005658B8"/>
    <w:rsid w:val="00566FCA"/>
    <w:rsid w:val="005671C7"/>
    <w:rsid w:val="00580F73"/>
    <w:rsid w:val="00583C5D"/>
    <w:rsid w:val="0059650F"/>
    <w:rsid w:val="005A1E12"/>
    <w:rsid w:val="005B007A"/>
    <w:rsid w:val="005B28D8"/>
    <w:rsid w:val="005C13EC"/>
    <w:rsid w:val="005C23C4"/>
    <w:rsid w:val="005D0152"/>
    <w:rsid w:val="005D0C18"/>
    <w:rsid w:val="005D1F80"/>
    <w:rsid w:val="005D7CB7"/>
    <w:rsid w:val="005E4D0C"/>
    <w:rsid w:val="0060253C"/>
    <w:rsid w:val="006070C4"/>
    <w:rsid w:val="006133F3"/>
    <w:rsid w:val="00613C66"/>
    <w:rsid w:val="00620222"/>
    <w:rsid w:val="00620D36"/>
    <w:rsid w:val="006210F2"/>
    <w:rsid w:val="00625C4F"/>
    <w:rsid w:val="00627957"/>
    <w:rsid w:val="00630748"/>
    <w:rsid w:val="0063698A"/>
    <w:rsid w:val="006409E0"/>
    <w:rsid w:val="006513CF"/>
    <w:rsid w:val="006544B1"/>
    <w:rsid w:val="0065759B"/>
    <w:rsid w:val="00663E4C"/>
    <w:rsid w:val="00666864"/>
    <w:rsid w:val="00670E87"/>
    <w:rsid w:val="00671993"/>
    <w:rsid w:val="00674A05"/>
    <w:rsid w:val="006757AC"/>
    <w:rsid w:val="00677FF7"/>
    <w:rsid w:val="00683ED1"/>
    <w:rsid w:val="006949AF"/>
    <w:rsid w:val="006B2627"/>
    <w:rsid w:val="006B56DC"/>
    <w:rsid w:val="006B5DEB"/>
    <w:rsid w:val="006D124B"/>
    <w:rsid w:val="006D3971"/>
    <w:rsid w:val="006D5323"/>
    <w:rsid w:val="006F1ABD"/>
    <w:rsid w:val="0071452F"/>
    <w:rsid w:val="00731FD4"/>
    <w:rsid w:val="00736DFE"/>
    <w:rsid w:val="007431BB"/>
    <w:rsid w:val="007479AF"/>
    <w:rsid w:val="00750655"/>
    <w:rsid w:val="007614AD"/>
    <w:rsid w:val="007671D1"/>
    <w:rsid w:val="00772E65"/>
    <w:rsid w:val="00782B09"/>
    <w:rsid w:val="00786FB4"/>
    <w:rsid w:val="007951E9"/>
    <w:rsid w:val="007A0868"/>
    <w:rsid w:val="007B0EEF"/>
    <w:rsid w:val="007B1D6D"/>
    <w:rsid w:val="007B4942"/>
    <w:rsid w:val="007C0CA9"/>
    <w:rsid w:val="007C44F6"/>
    <w:rsid w:val="007C7D7E"/>
    <w:rsid w:val="007D383B"/>
    <w:rsid w:val="007F2321"/>
    <w:rsid w:val="007F3D8D"/>
    <w:rsid w:val="00811DFA"/>
    <w:rsid w:val="00821ED7"/>
    <w:rsid w:val="00823E87"/>
    <w:rsid w:val="00853EC6"/>
    <w:rsid w:val="00865FDA"/>
    <w:rsid w:val="00873BF8"/>
    <w:rsid w:val="00876C14"/>
    <w:rsid w:val="00886F30"/>
    <w:rsid w:val="00887111"/>
    <w:rsid w:val="00890DDC"/>
    <w:rsid w:val="008931DE"/>
    <w:rsid w:val="0089396C"/>
    <w:rsid w:val="008B0938"/>
    <w:rsid w:val="008B5F47"/>
    <w:rsid w:val="008C0293"/>
    <w:rsid w:val="008C44AF"/>
    <w:rsid w:val="008C6C4A"/>
    <w:rsid w:val="008F1B65"/>
    <w:rsid w:val="008F74A5"/>
    <w:rsid w:val="008F7F46"/>
    <w:rsid w:val="00900865"/>
    <w:rsid w:val="009022F5"/>
    <w:rsid w:val="00903FEB"/>
    <w:rsid w:val="00917841"/>
    <w:rsid w:val="009230B8"/>
    <w:rsid w:val="009321A3"/>
    <w:rsid w:val="00932356"/>
    <w:rsid w:val="00932F32"/>
    <w:rsid w:val="00935E44"/>
    <w:rsid w:val="00945834"/>
    <w:rsid w:val="00945CD0"/>
    <w:rsid w:val="00951738"/>
    <w:rsid w:val="009562BC"/>
    <w:rsid w:val="00965104"/>
    <w:rsid w:val="0097108D"/>
    <w:rsid w:val="00973702"/>
    <w:rsid w:val="0098241D"/>
    <w:rsid w:val="00983F7E"/>
    <w:rsid w:val="009A1885"/>
    <w:rsid w:val="009A2251"/>
    <w:rsid w:val="009A69FA"/>
    <w:rsid w:val="009B401D"/>
    <w:rsid w:val="009B4B4A"/>
    <w:rsid w:val="009C04F4"/>
    <w:rsid w:val="009D2151"/>
    <w:rsid w:val="009D798E"/>
    <w:rsid w:val="009E0DC2"/>
    <w:rsid w:val="009E3F0A"/>
    <w:rsid w:val="009E7205"/>
    <w:rsid w:val="009F0C37"/>
    <w:rsid w:val="009F2BEC"/>
    <w:rsid w:val="009F3BA1"/>
    <w:rsid w:val="00A11383"/>
    <w:rsid w:val="00A42377"/>
    <w:rsid w:val="00A5092E"/>
    <w:rsid w:val="00A67B21"/>
    <w:rsid w:val="00A74EB4"/>
    <w:rsid w:val="00A91790"/>
    <w:rsid w:val="00A93106"/>
    <w:rsid w:val="00A97B4D"/>
    <w:rsid w:val="00AA6F31"/>
    <w:rsid w:val="00AB3127"/>
    <w:rsid w:val="00AB6ABF"/>
    <w:rsid w:val="00AD68DA"/>
    <w:rsid w:val="00AF0326"/>
    <w:rsid w:val="00B04116"/>
    <w:rsid w:val="00B0577D"/>
    <w:rsid w:val="00B130A2"/>
    <w:rsid w:val="00B166AF"/>
    <w:rsid w:val="00B21298"/>
    <w:rsid w:val="00B33E2F"/>
    <w:rsid w:val="00B3678A"/>
    <w:rsid w:val="00B369C7"/>
    <w:rsid w:val="00B40E54"/>
    <w:rsid w:val="00B4542E"/>
    <w:rsid w:val="00B46A61"/>
    <w:rsid w:val="00B7671B"/>
    <w:rsid w:val="00B85F75"/>
    <w:rsid w:val="00B92AA0"/>
    <w:rsid w:val="00BA3791"/>
    <w:rsid w:val="00BA41C7"/>
    <w:rsid w:val="00BB120F"/>
    <w:rsid w:val="00BB4293"/>
    <w:rsid w:val="00BB5C97"/>
    <w:rsid w:val="00BC2631"/>
    <w:rsid w:val="00BC4586"/>
    <w:rsid w:val="00BD7D00"/>
    <w:rsid w:val="00BE0390"/>
    <w:rsid w:val="00BE0BBA"/>
    <w:rsid w:val="00C058BC"/>
    <w:rsid w:val="00C14A83"/>
    <w:rsid w:val="00C42BC0"/>
    <w:rsid w:val="00C4630D"/>
    <w:rsid w:val="00C54D0D"/>
    <w:rsid w:val="00C54F77"/>
    <w:rsid w:val="00C55DB9"/>
    <w:rsid w:val="00C71C86"/>
    <w:rsid w:val="00C72B79"/>
    <w:rsid w:val="00C75B41"/>
    <w:rsid w:val="00C76B12"/>
    <w:rsid w:val="00C92FEB"/>
    <w:rsid w:val="00C93A6A"/>
    <w:rsid w:val="00CA4DE3"/>
    <w:rsid w:val="00CA78E5"/>
    <w:rsid w:val="00CB44A6"/>
    <w:rsid w:val="00CC3240"/>
    <w:rsid w:val="00CC49AC"/>
    <w:rsid w:val="00CD4084"/>
    <w:rsid w:val="00CD5676"/>
    <w:rsid w:val="00CE0D84"/>
    <w:rsid w:val="00CE421C"/>
    <w:rsid w:val="00CE4B9E"/>
    <w:rsid w:val="00CF1803"/>
    <w:rsid w:val="00D0269F"/>
    <w:rsid w:val="00D03654"/>
    <w:rsid w:val="00D06543"/>
    <w:rsid w:val="00D12199"/>
    <w:rsid w:val="00D229EE"/>
    <w:rsid w:val="00D31AE9"/>
    <w:rsid w:val="00D32827"/>
    <w:rsid w:val="00D41577"/>
    <w:rsid w:val="00D45C90"/>
    <w:rsid w:val="00D57695"/>
    <w:rsid w:val="00D708B7"/>
    <w:rsid w:val="00D72F28"/>
    <w:rsid w:val="00D931D2"/>
    <w:rsid w:val="00D94A3B"/>
    <w:rsid w:val="00DB3395"/>
    <w:rsid w:val="00DB4DAD"/>
    <w:rsid w:val="00DC6834"/>
    <w:rsid w:val="00DC75CD"/>
    <w:rsid w:val="00DE5854"/>
    <w:rsid w:val="00E141B1"/>
    <w:rsid w:val="00E22E33"/>
    <w:rsid w:val="00E2788D"/>
    <w:rsid w:val="00E46DA1"/>
    <w:rsid w:val="00E61ECD"/>
    <w:rsid w:val="00E74E2B"/>
    <w:rsid w:val="00E849D8"/>
    <w:rsid w:val="00E857F2"/>
    <w:rsid w:val="00E9519E"/>
    <w:rsid w:val="00E95C44"/>
    <w:rsid w:val="00E95DB3"/>
    <w:rsid w:val="00E9634A"/>
    <w:rsid w:val="00EA7EAB"/>
    <w:rsid w:val="00EB346C"/>
    <w:rsid w:val="00EC27F9"/>
    <w:rsid w:val="00EC5987"/>
    <w:rsid w:val="00ED2674"/>
    <w:rsid w:val="00ED2EC5"/>
    <w:rsid w:val="00ED63BA"/>
    <w:rsid w:val="00ED7E89"/>
    <w:rsid w:val="00F14997"/>
    <w:rsid w:val="00F17BAA"/>
    <w:rsid w:val="00F21035"/>
    <w:rsid w:val="00F439CE"/>
    <w:rsid w:val="00F45518"/>
    <w:rsid w:val="00F50792"/>
    <w:rsid w:val="00F541FF"/>
    <w:rsid w:val="00F54771"/>
    <w:rsid w:val="00F57489"/>
    <w:rsid w:val="00F70D1E"/>
    <w:rsid w:val="00F76B94"/>
    <w:rsid w:val="00F76C3A"/>
    <w:rsid w:val="00F844D9"/>
    <w:rsid w:val="00F849DD"/>
    <w:rsid w:val="00F91018"/>
    <w:rsid w:val="00FB6088"/>
    <w:rsid w:val="00FE7BA5"/>
    <w:rsid w:val="00FF79B3"/>
    <w:rsid w:val="00FF7FA4"/>
    <w:rsid w:val="4C18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6"/>
    <w:semiHidden/>
    <w:unhideWhenUsed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3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paragraph" w:styleId="16">
    <w:name w:val="Title"/>
    <w:basedOn w:val="1"/>
    <w:next w:val="1"/>
    <w:link w:val="3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rFonts w:asciiTheme="minorHAnsi" w:hAnsiTheme="minorHAnsi"/>
      <w:b/>
      <w:i/>
      <w:iCs/>
    </w:rPr>
  </w:style>
  <w:style w:type="character" w:customStyle="1" w:styleId="21">
    <w:name w:val="页眉 Char"/>
    <w:basedOn w:val="18"/>
    <w:link w:val="13"/>
    <w:uiPriority w:val="99"/>
    <w:rPr>
      <w:sz w:val="18"/>
      <w:szCs w:val="18"/>
    </w:rPr>
  </w:style>
  <w:style w:type="character" w:customStyle="1" w:styleId="22">
    <w:name w:val="页脚 Char"/>
    <w:basedOn w:val="18"/>
    <w:link w:val="12"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4">
    <w:name w:val="标题 2 Char"/>
    <w:basedOn w:val="18"/>
    <w:link w:val="3"/>
    <w:semiHidden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5">
    <w:name w:val="标题 3 Char"/>
    <w:basedOn w:val="18"/>
    <w:link w:val="4"/>
    <w:semiHidden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6">
    <w:name w:val="标题 4 Char"/>
    <w:basedOn w:val="18"/>
    <w:link w:val="5"/>
    <w:semiHidden/>
    <w:uiPriority w:val="9"/>
    <w:rPr>
      <w:b/>
      <w:bCs/>
      <w:sz w:val="28"/>
      <w:szCs w:val="28"/>
    </w:rPr>
  </w:style>
  <w:style w:type="character" w:customStyle="1" w:styleId="27">
    <w:name w:val="标题 5 Char"/>
    <w:basedOn w:val="18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28">
    <w:name w:val="标题 6 Char"/>
    <w:basedOn w:val="18"/>
    <w:link w:val="7"/>
    <w:semiHidden/>
    <w:uiPriority w:val="9"/>
    <w:rPr>
      <w:b/>
      <w:bCs/>
    </w:rPr>
  </w:style>
  <w:style w:type="character" w:customStyle="1" w:styleId="29">
    <w:name w:val="标题 7 Char"/>
    <w:basedOn w:val="18"/>
    <w:link w:val="8"/>
    <w:semiHidden/>
    <w:uiPriority w:val="9"/>
    <w:rPr>
      <w:sz w:val="24"/>
      <w:szCs w:val="24"/>
    </w:rPr>
  </w:style>
  <w:style w:type="character" w:customStyle="1" w:styleId="30">
    <w:name w:val="标题 8 Char"/>
    <w:basedOn w:val="18"/>
    <w:link w:val="9"/>
    <w:semiHidden/>
    <w:uiPriority w:val="9"/>
    <w:rPr>
      <w:i/>
      <w:iCs/>
      <w:sz w:val="24"/>
      <w:szCs w:val="24"/>
    </w:rPr>
  </w:style>
  <w:style w:type="character" w:customStyle="1" w:styleId="31">
    <w:name w:val="标题 9 Char"/>
    <w:basedOn w:val="18"/>
    <w:link w:val="10"/>
    <w:semiHidden/>
    <w:uiPriority w:val="9"/>
    <w:rPr>
      <w:rFonts w:asciiTheme="majorHAnsi" w:hAnsiTheme="majorHAnsi" w:eastAsiaTheme="majorEastAsia"/>
    </w:rPr>
  </w:style>
  <w:style w:type="character" w:customStyle="1" w:styleId="32">
    <w:name w:val="标题 Char"/>
    <w:basedOn w:val="18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3">
    <w:name w:val="副标题 Char"/>
    <w:basedOn w:val="18"/>
    <w:link w:val="14"/>
    <w:uiPriority w:val="11"/>
    <w:rPr>
      <w:rFonts w:asciiTheme="majorHAnsi" w:hAnsiTheme="majorHAnsi" w:eastAsiaTheme="majorEastAsia"/>
      <w:sz w:val="24"/>
      <w:szCs w:val="24"/>
    </w:rPr>
  </w:style>
  <w:style w:type="paragraph" w:styleId="34">
    <w:name w:val="No Spacing"/>
    <w:basedOn w:val="1"/>
    <w:qFormat/>
    <w:uiPriority w:val="1"/>
    <w:rPr>
      <w:szCs w:val="32"/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i/>
    </w:rPr>
  </w:style>
  <w:style w:type="character" w:customStyle="1" w:styleId="37">
    <w:name w:val="引用 Char"/>
    <w:basedOn w:val="18"/>
    <w:link w:val="36"/>
    <w:uiPriority w:val="29"/>
    <w:rPr>
      <w:i/>
      <w:sz w:val="24"/>
      <w:szCs w:val="24"/>
    </w:rPr>
  </w:style>
  <w:style w:type="paragraph" w:styleId="38">
    <w:name w:val="Intense Quote"/>
    <w:basedOn w:val="1"/>
    <w:next w:val="1"/>
    <w:link w:val="39"/>
    <w:qFormat/>
    <w:uiPriority w:val="30"/>
    <w:pPr>
      <w:ind w:left="720" w:right="720"/>
    </w:pPr>
    <w:rPr>
      <w:b/>
      <w:i/>
      <w:szCs w:val="22"/>
    </w:rPr>
  </w:style>
  <w:style w:type="character" w:customStyle="1" w:styleId="39">
    <w:name w:val="明显引用 Char"/>
    <w:basedOn w:val="18"/>
    <w:link w:val="38"/>
    <w:uiPriority w:val="30"/>
    <w:rPr>
      <w:b/>
      <w:i/>
      <w:sz w:val="24"/>
    </w:rPr>
  </w:style>
  <w:style w:type="character" w:customStyle="1" w:styleId="40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1">
    <w:name w:val="Intense Emphasis"/>
    <w:basedOn w:val="18"/>
    <w:qFormat/>
    <w:uiPriority w:val="21"/>
    <w:rPr>
      <w:b/>
      <w:i/>
      <w:sz w:val="24"/>
      <w:szCs w:val="24"/>
      <w:u w:val="single"/>
    </w:rPr>
  </w:style>
  <w:style w:type="character" w:customStyle="1" w:styleId="42">
    <w:name w:val="Subtle Reference"/>
    <w:basedOn w:val="18"/>
    <w:qFormat/>
    <w:uiPriority w:val="31"/>
    <w:rPr>
      <w:sz w:val="24"/>
      <w:szCs w:val="24"/>
      <w:u w:val="single"/>
    </w:rPr>
  </w:style>
  <w:style w:type="character" w:customStyle="1" w:styleId="43">
    <w:name w:val="Intense Reference"/>
    <w:basedOn w:val="18"/>
    <w:qFormat/>
    <w:uiPriority w:val="32"/>
    <w:rPr>
      <w:b/>
      <w:sz w:val="24"/>
      <w:u w:val="single"/>
    </w:rPr>
  </w:style>
  <w:style w:type="character" w:customStyle="1" w:styleId="44">
    <w:name w:val="Book Title"/>
    <w:basedOn w:val="18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5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6">
    <w:name w:val="批注框文本 Char"/>
    <w:basedOn w:val="18"/>
    <w:link w:val="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postone-02\Desktop\&#24066;&#22330;&#36319;&#36394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申万一级行业月度表现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申万行业月度表现!$A$2</c:f>
              <c:strCache>
                <c:ptCount val="1"/>
                <c:pt idx="0">
                  <c:v>轻工制造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申万行业月度表现!$B$2</c:f>
              <c:numCache>
                <c:formatCode>#,##0.0000</c:formatCode>
                <c:ptCount val="1"/>
                <c:pt idx="0">
                  <c:v>15.706</c:v>
                </c:pt>
              </c:numCache>
            </c:numRef>
          </c:val>
        </c:ser>
        <c:ser>
          <c:idx val="1"/>
          <c:order val="1"/>
          <c:tx>
            <c:strRef>
              <c:f>申万行业月度表现!$A$3</c:f>
              <c:strCache>
                <c:ptCount val="1"/>
                <c:pt idx="0">
                  <c:v>农林牧渔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申万行业月度表现!$B$3</c:f>
              <c:numCache>
                <c:formatCode>#,##0.0000</c:formatCode>
                <c:ptCount val="1"/>
                <c:pt idx="0">
                  <c:v>13.4558</c:v>
                </c:pt>
              </c:numCache>
            </c:numRef>
          </c:val>
        </c:ser>
        <c:ser>
          <c:idx val="2"/>
          <c:order val="2"/>
          <c:tx>
            <c:strRef>
              <c:f>申万行业月度表现!$A$4</c:f>
              <c:strCache>
                <c:ptCount val="1"/>
                <c:pt idx="0">
                  <c:v>计算机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申万行业月度表现!$B$4</c:f>
              <c:numCache>
                <c:formatCode>#,##0.0000</c:formatCode>
                <c:ptCount val="1"/>
                <c:pt idx="0">
                  <c:v>12.6599</c:v>
                </c:pt>
              </c:numCache>
            </c:numRef>
          </c:val>
        </c:ser>
        <c:ser>
          <c:idx val="3"/>
          <c:order val="3"/>
          <c:tx>
            <c:strRef>
              <c:f>申万行业月度表现!$A$5</c:f>
              <c:strCache>
                <c:ptCount val="1"/>
                <c:pt idx="0">
                  <c:v>综合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申万行业月度表现!$B$5</c:f>
              <c:numCache>
                <c:formatCode>#,##0.0000</c:formatCode>
                <c:ptCount val="1"/>
                <c:pt idx="0">
                  <c:v>12.1892</c:v>
                </c:pt>
              </c:numCache>
            </c:numRef>
          </c:val>
        </c:ser>
        <c:ser>
          <c:idx val="4"/>
          <c:order val="4"/>
          <c:tx>
            <c:strRef>
              <c:f>申万行业月度表现!$A$6</c:f>
              <c:strCache>
                <c:ptCount val="1"/>
                <c:pt idx="0">
                  <c:v>食品饮料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申万行业月度表现!$B$6</c:f>
              <c:numCache>
                <c:formatCode>#,##0.0000</c:formatCode>
                <c:ptCount val="1"/>
                <c:pt idx="0">
                  <c:v>11.8164</c:v>
                </c:pt>
              </c:numCache>
            </c:numRef>
          </c:val>
        </c:ser>
        <c:ser>
          <c:idx val="5"/>
          <c:order val="5"/>
          <c:tx>
            <c:strRef>
              <c:f>申万行业月度表现!$A$7</c:f>
              <c:strCache>
                <c:ptCount val="1"/>
                <c:pt idx="0">
                  <c:v>纺织服装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申万行业月度表现!$B$7</c:f>
              <c:numCache>
                <c:formatCode>#,##0.0000</c:formatCode>
                <c:ptCount val="1"/>
                <c:pt idx="0">
                  <c:v>9.4154</c:v>
                </c:pt>
              </c:numCache>
            </c:numRef>
          </c:val>
        </c:ser>
        <c:ser>
          <c:idx val="6"/>
          <c:order val="6"/>
          <c:tx>
            <c:strRef>
              <c:f>申万行业月度表现!$A$8</c:f>
              <c:strCache>
                <c:ptCount val="1"/>
                <c:pt idx="0">
                  <c:v>休闲服务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申万行业月度表现!$B$8</c:f>
              <c:numCache>
                <c:formatCode>#,##0.0000</c:formatCode>
                <c:ptCount val="1"/>
                <c:pt idx="0">
                  <c:v>9.316</c:v>
                </c:pt>
              </c:numCache>
            </c:numRef>
          </c:val>
        </c:ser>
        <c:ser>
          <c:idx val="7"/>
          <c:order val="7"/>
          <c:tx>
            <c:strRef>
              <c:f>申万行业月度表现!$A$9</c:f>
              <c:strCache>
                <c:ptCount val="1"/>
                <c:pt idx="0">
                  <c:v>建筑材料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申万行业月度表现!$B$9</c:f>
              <c:numCache>
                <c:formatCode>#,##0.0000</c:formatCode>
                <c:ptCount val="1"/>
                <c:pt idx="0">
                  <c:v>9.2438</c:v>
                </c:pt>
              </c:numCache>
            </c:numRef>
          </c:val>
        </c:ser>
        <c:ser>
          <c:idx val="8"/>
          <c:order val="8"/>
          <c:tx>
            <c:strRef>
              <c:f>申万行业月度表现!$A$10</c:f>
              <c:strCache>
                <c:ptCount val="1"/>
                <c:pt idx="0">
                  <c:v>医药生物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申万行业月度表现!$B$10</c:f>
              <c:numCache>
                <c:formatCode>#,##0.0000</c:formatCode>
                <c:ptCount val="1"/>
                <c:pt idx="0">
                  <c:v>9.0533</c:v>
                </c:pt>
              </c:numCache>
            </c:numRef>
          </c:val>
        </c:ser>
        <c:ser>
          <c:idx val="9"/>
          <c:order val="9"/>
          <c:tx>
            <c:strRef>
              <c:f>申万行业月度表现!$A$11</c:f>
              <c:strCache>
                <c:ptCount val="1"/>
                <c:pt idx="0">
                  <c:v>房地产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申万行业月度表现!$B$11</c:f>
              <c:numCache>
                <c:formatCode>#,##0.0000</c:formatCode>
                <c:ptCount val="1"/>
                <c:pt idx="0">
                  <c:v>7.4652</c:v>
                </c:pt>
              </c:numCache>
            </c:numRef>
          </c:val>
        </c:ser>
        <c:ser>
          <c:idx val="10"/>
          <c:order val="10"/>
          <c:tx>
            <c:strRef>
              <c:f>申万行业月度表现!$A$12</c:f>
              <c:strCache>
                <c:ptCount val="1"/>
                <c:pt idx="0">
                  <c:v>国防军工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申万行业月度表现!$B$12</c:f>
              <c:numCache>
                <c:formatCode>#,##0.0000</c:formatCode>
                <c:ptCount val="1"/>
                <c:pt idx="0">
                  <c:v>7.2431</c:v>
                </c:pt>
              </c:numCache>
            </c:numRef>
          </c:val>
        </c:ser>
        <c:ser>
          <c:idx val="11"/>
          <c:order val="11"/>
          <c:tx>
            <c:strRef>
              <c:f>申万行业月度表现!$A$13</c:f>
              <c:strCache>
                <c:ptCount val="1"/>
                <c:pt idx="0">
                  <c:v>机械设备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申万行业月度表现!$B$13</c:f>
              <c:numCache>
                <c:formatCode>#,##0.0000</c:formatCode>
                <c:ptCount val="1"/>
                <c:pt idx="0">
                  <c:v>7.0261</c:v>
                </c:pt>
              </c:numCache>
            </c:numRef>
          </c:val>
        </c:ser>
        <c:ser>
          <c:idx val="12"/>
          <c:order val="12"/>
          <c:tx>
            <c:strRef>
              <c:f>申万行业月度表现!$A$14</c:f>
              <c:strCache>
                <c:ptCount val="1"/>
                <c:pt idx="0">
                  <c:v>家用电器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申万行业月度表现!$B$14</c:f>
              <c:numCache>
                <c:formatCode>#,##0.0000</c:formatCode>
                <c:ptCount val="1"/>
                <c:pt idx="0">
                  <c:v>6.0469</c:v>
                </c:pt>
              </c:numCache>
            </c:numRef>
          </c:val>
        </c:ser>
        <c:ser>
          <c:idx val="13"/>
          <c:order val="13"/>
          <c:tx>
            <c:strRef>
              <c:f>申万行业月度表现!$A$15</c:f>
              <c:strCache>
                <c:ptCount val="1"/>
                <c:pt idx="0">
                  <c:v>电气设备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申万行业月度表现!$B$15</c:f>
              <c:numCache>
                <c:formatCode>#,##0.0000</c:formatCode>
                <c:ptCount val="1"/>
                <c:pt idx="0">
                  <c:v>5.9857</c:v>
                </c:pt>
              </c:numCache>
            </c:numRef>
          </c:val>
        </c:ser>
        <c:ser>
          <c:idx val="14"/>
          <c:order val="14"/>
          <c:tx>
            <c:strRef>
              <c:f>申万行业月度表现!$A$16</c:f>
              <c:strCache>
                <c:ptCount val="1"/>
                <c:pt idx="0">
                  <c:v>交通运输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申万行业月度表现!$B$16</c:f>
              <c:numCache>
                <c:formatCode>#,##0.0000</c:formatCode>
                <c:ptCount val="1"/>
                <c:pt idx="0">
                  <c:v>5.9755</c:v>
                </c:pt>
              </c:numCache>
            </c:numRef>
          </c:val>
        </c:ser>
        <c:ser>
          <c:idx val="15"/>
          <c:order val="15"/>
          <c:tx>
            <c:strRef>
              <c:f>申万行业月度表现!$A$17</c:f>
              <c:strCache>
                <c:ptCount val="1"/>
                <c:pt idx="0">
                  <c:v>商业贸易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申万行业月度表现!$B$17</c:f>
              <c:numCache>
                <c:formatCode>#,##0.0000</c:formatCode>
                <c:ptCount val="1"/>
                <c:pt idx="0">
                  <c:v>5.7729</c:v>
                </c:pt>
              </c:numCache>
            </c:numRef>
          </c:val>
        </c:ser>
        <c:ser>
          <c:idx val="16"/>
          <c:order val="16"/>
          <c:tx>
            <c:strRef>
              <c:f>申万行业月度表现!$A$18</c:f>
              <c:strCache>
                <c:ptCount val="1"/>
                <c:pt idx="0">
                  <c:v>化工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申万行业月度表现!$B$18</c:f>
              <c:numCache>
                <c:formatCode>#,##0.0000</c:formatCode>
                <c:ptCount val="1"/>
                <c:pt idx="0">
                  <c:v>5.6878</c:v>
                </c:pt>
              </c:numCache>
            </c:numRef>
          </c:val>
        </c:ser>
        <c:ser>
          <c:idx val="17"/>
          <c:order val="17"/>
          <c:tx>
            <c:strRef>
              <c:f>申万行业月度表现!$A$19</c:f>
              <c:strCache>
                <c:ptCount val="1"/>
                <c:pt idx="0">
                  <c:v>电子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申万行业月度表现!$B$19</c:f>
              <c:numCache>
                <c:formatCode>#,##0.0000</c:formatCode>
                <c:ptCount val="1"/>
                <c:pt idx="0">
                  <c:v>5.4527</c:v>
                </c:pt>
              </c:numCache>
            </c:numRef>
          </c:val>
        </c:ser>
        <c:ser>
          <c:idx val="18"/>
          <c:order val="18"/>
          <c:tx>
            <c:strRef>
              <c:f>申万行业月度表现!$A$20</c:f>
              <c:strCache>
                <c:ptCount val="1"/>
                <c:pt idx="0">
                  <c:v>传媒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申万行业月度表现!$B$20</c:f>
              <c:numCache>
                <c:formatCode>#,##0.0000</c:formatCode>
                <c:ptCount val="1"/>
                <c:pt idx="0">
                  <c:v>4.6748</c:v>
                </c:pt>
              </c:numCache>
            </c:numRef>
          </c:val>
        </c:ser>
        <c:ser>
          <c:idx val="19"/>
          <c:order val="19"/>
          <c:tx>
            <c:strRef>
              <c:f>申万行业月度表现!$A$21</c:f>
              <c:strCache>
                <c:ptCount val="1"/>
                <c:pt idx="0">
                  <c:v>通信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申万行业月度表现!$B$21</c:f>
              <c:numCache>
                <c:formatCode>#,##0.0000</c:formatCode>
                <c:ptCount val="1"/>
                <c:pt idx="0">
                  <c:v>4.5686</c:v>
                </c:pt>
              </c:numCache>
            </c:numRef>
          </c:val>
        </c:ser>
        <c:ser>
          <c:idx val="20"/>
          <c:order val="20"/>
          <c:tx>
            <c:strRef>
              <c:f>申万行业月度表现!$A$22</c:f>
              <c:strCache>
                <c:ptCount val="1"/>
                <c:pt idx="0">
                  <c:v>公用事业</c:v>
                </c:pt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申万行业月度表现!$B$22</c:f>
              <c:numCache>
                <c:formatCode>#,##0.0000</c:formatCode>
                <c:ptCount val="1"/>
                <c:pt idx="0">
                  <c:v>3.2015</c:v>
                </c:pt>
              </c:numCache>
            </c:numRef>
          </c:val>
        </c:ser>
        <c:ser>
          <c:idx val="21"/>
          <c:order val="21"/>
          <c:tx>
            <c:strRef>
              <c:f>申万行业月度表现!$A$23</c:f>
              <c:strCache>
                <c:ptCount val="1"/>
                <c:pt idx="0">
                  <c:v>建筑装饰</c:v>
                </c:pt>
              </c:strCache>
            </c:strRef>
          </c:tx>
          <c:spPr>
            <a:solidFill>
              <a:schemeClr val="accent4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申万行业月度表现!$B$23</c:f>
              <c:numCache>
                <c:formatCode>#,##0.0000</c:formatCode>
                <c:ptCount val="1"/>
                <c:pt idx="0">
                  <c:v>1.2417</c:v>
                </c:pt>
              </c:numCache>
            </c:numRef>
          </c:val>
        </c:ser>
        <c:ser>
          <c:idx val="22"/>
          <c:order val="22"/>
          <c:tx>
            <c:strRef>
              <c:f>申万行业月度表现!$A$24</c:f>
              <c:strCache>
                <c:ptCount val="1"/>
                <c:pt idx="0">
                  <c:v>有色金属</c:v>
                </c:pt>
              </c:strCache>
            </c:strRef>
          </c:tx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申万行业月度表现!$B$24</c:f>
              <c:numCache>
                <c:formatCode>#,##0.0000</c:formatCode>
                <c:ptCount val="1"/>
                <c:pt idx="0">
                  <c:v>0.7582</c:v>
                </c:pt>
              </c:numCache>
            </c:numRef>
          </c:val>
        </c:ser>
        <c:ser>
          <c:idx val="23"/>
          <c:order val="23"/>
          <c:tx>
            <c:strRef>
              <c:f>申万行业月度表现!$A$25</c:f>
              <c:strCache>
                <c:ptCount val="1"/>
                <c:pt idx="0">
                  <c:v>汽车</c:v>
                </c:pt>
              </c:strCache>
            </c:strRef>
          </c:tx>
          <c:spPr>
            <a:solidFill>
              <a:schemeClr val="accent6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申万行业月度表现!$B$25</c:f>
              <c:numCache>
                <c:formatCode>#,##0.0000</c:formatCode>
                <c:ptCount val="1"/>
                <c:pt idx="0">
                  <c:v>0.3335</c:v>
                </c:pt>
              </c:numCache>
            </c:numRef>
          </c:val>
        </c:ser>
        <c:ser>
          <c:idx val="24"/>
          <c:order val="24"/>
          <c:tx>
            <c:strRef>
              <c:f>申万行业月度表现!$A$26</c:f>
              <c:strCache>
                <c:ptCount val="1"/>
                <c:pt idx="0">
                  <c:v>非银金融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申万行业月度表现!$B$26</c:f>
              <c:numCache>
                <c:formatCode>#,##0.0000</c:formatCode>
                <c:ptCount val="1"/>
                <c:pt idx="0">
                  <c:v>-0.5231</c:v>
                </c:pt>
              </c:numCache>
            </c:numRef>
          </c:val>
        </c:ser>
        <c:ser>
          <c:idx val="25"/>
          <c:order val="25"/>
          <c:tx>
            <c:strRef>
              <c:f>申万行业月度表现!$A$27</c:f>
              <c:strCache>
                <c:ptCount val="1"/>
                <c:pt idx="0">
                  <c:v>钢铁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申万行业月度表现!$B$27</c:f>
              <c:numCache>
                <c:formatCode>#,##0.0000</c:formatCode>
                <c:ptCount val="1"/>
                <c:pt idx="0">
                  <c:v>-1.5337</c:v>
                </c:pt>
              </c:numCache>
            </c:numRef>
          </c:val>
        </c:ser>
        <c:ser>
          <c:idx val="26"/>
          <c:order val="26"/>
          <c:tx>
            <c:strRef>
              <c:f>申万行业月度表现!$A$28</c:f>
              <c:strCache>
                <c:ptCount val="1"/>
                <c:pt idx="0">
                  <c:v>采掘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申万行业月度表现!$B$28</c:f>
              <c:numCache>
                <c:formatCode>#,##0.0000</c:formatCode>
                <c:ptCount val="1"/>
                <c:pt idx="0">
                  <c:v>-2.9043</c:v>
                </c:pt>
              </c:numCache>
            </c:numRef>
          </c:val>
        </c:ser>
        <c:ser>
          <c:idx val="27"/>
          <c:order val="27"/>
          <c:tx>
            <c:strRef>
              <c:f>申万行业月度表现!$A$29</c:f>
              <c:strCache>
                <c:ptCount val="1"/>
                <c:pt idx="0">
                  <c:v>银行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申万行业月度表现!$B$29</c:f>
              <c:numCache>
                <c:formatCode>#,##0.0000</c:formatCode>
                <c:ptCount val="1"/>
                <c:pt idx="0">
                  <c:v>-3.2616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8530656"/>
        <c:axId val="218531216"/>
      </c:barChart>
      <c:catAx>
        <c:axId val="21853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18531216"/>
        <c:crosses val="autoZero"/>
        <c:auto val="1"/>
        <c:lblAlgn val="ctr"/>
        <c:lblOffset val="100"/>
        <c:noMultiLvlLbl val="0"/>
      </c:catAx>
      <c:valAx>
        <c:axId val="218531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18530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974536307961505"/>
          <c:y val="0.618729080883238"/>
          <c:w val="0.843981408573928"/>
          <c:h val="0.344573671410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834</Words>
  <Characters>919</Characters>
  <Lines>48</Lines>
  <Paragraphs>27</Paragraphs>
  <TotalTime>2144</TotalTime>
  <ScaleCrop>false</ScaleCrop>
  <LinksUpToDate>false</LinksUpToDate>
  <CharactersWithSpaces>1726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2019-01-29T03:21:00Z</dcterms:created>
  <dc:creator>postone-02</dc:creator>
  <cp:lastModifiedBy>xxx</cp:lastModifiedBy>
  <dcterms:modified xsi:type="dcterms:W3CDTF">2019-03-29T08:45:44Z</dcterms:modified>
  <dc:title>投资策略月度报告 （2019年1月31日）</dc:title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